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90" w:rsidRPr="00F67C90" w:rsidRDefault="00F67C90" w:rsidP="00F67C90">
      <w:pPr>
        <w:pStyle w:val="Titre1"/>
        <w:pBdr>
          <w:bottom w:val="single" w:sz="12" w:space="1" w:color="2DAAA0"/>
        </w:pBdr>
        <w:spacing w:before="0" w:line="240" w:lineRule="auto"/>
        <w:jc w:val="both"/>
        <w:rPr>
          <w:rFonts w:ascii="Calibri" w:hAnsi="Calibri"/>
          <w:color w:val="2DAAA0"/>
        </w:rPr>
      </w:pPr>
      <w:r w:rsidRPr="00F67C90">
        <w:rPr>
          <w:rFonts w:ascii="Calibri" w:hAnsi="Calibri"/>
          <w:color w:val="2DAAA0"/>
        </w:rPr>
        <w:t>Objet</w:t>
      </w:r>
    </w:p>
    <w:p w:rsidR="00EF5FCA" w:rsidRPr="00F67C90" w:rsidRDefault="00EF5FCA" w:rsidP="00EE55D3">
      <w:pPr>
        <w:jc w:val="both"/>
        <w:rPr>
          <w:rFonts w:cstheme="minorHAnsi"/>
        </w:rPr>
      </w:pPr>
      <w:r w:rsidRPr="00F67C90">
        <w:rPr>
          <w:rFonts w:cstheme="minorHAnsi"/>
        </w:rPr>
        <w:t>L’</w:t>
      </w:r>
      <w:proofErr w:type="spellStart"/>
      <w:r w:rsidRPr="00F67C90">
        <w:rPr>
          <w:rFonts w:cstheme="minorHAnsi"/>
        </w:rPr>
        <w:t>OMéDIT</w:t>
      </w:r>
      <w:proofErr w:type="spellEnd"/>
      <w:r w:rsidRPr="00F67C90">
        <w:rPr>
          <w:rFonts w:cstheme="minorHAnsi"/>
        </w:rPr>
        <w:t xml:space="preserve"> Normandie en association avec le </w:t>
      </w:r>
      <w:proofErr w:type="spellStart"/>
      <w:r w:rsidRPr="00F67C90">
        <w:rPr>
          <w:rFonts w:cstheme="minorHAnsi"/>
        </w:rPr>
        <w:t>Qual’va</w:t>
      </w:r>
      <w:proofErr w:type="spellEnd"/>
      <w:r w:rsidRPr="00F67C90">
        <w:rPr>
          <w:rFonts w:cstheme="minorHAnsi"/>
        </w:rPr>
        <w:t xml:space="preserve"> propose aux établissements de santé volontaires</w:t>
      </w:r>
      <w:r w:rsidR="00C65AD8" w:rsidRPr="00F67C90">
        <w:rPr>
          <w:rFonts w:cstheme="minorHAnsi"/>
        </w:rPr>
        <w:t xml:space="preserve"> un outil d’amélioration </w:t>
      </w:r>
      <w:r w:rsidR="00D35235" w:rsidRPr="00F67C90">
        <w:rPr>
          <w:rFonts w:cstheme="minorHAnsi"/>
        </w:rPr>
        <w:t xml:space="preserve">et </w:t>
      </w:r>
      <w:r w:rsidR="00C65AD8" w:rsidRPr="00F67C90">
        <w:rPr>
          <w:rFonts w:cstheme="minorHAnsi"/>
        </w:rPr>
        <w:t>de</w:t>
      </w:r>
      <w:r w:rsidRPr="00F67C90">
        <w:rPr>
          <w:rFonts w:cstheme="minorHAnsi"/>
        </w:rPr>
        <w:t xml:space="preserve"> </w:t>
      </w:r>
      <w:r w:rsidR="00D35235" w:rsidRPr="00F67C90">
        <w:rPr>
          <w:rFonts w:cstheme="minorHAnsi"/>
        </w:rPr>
        <w:t>sécurisation</w:t>
      </w:r>
      <w:r w:rsidRPr="00F67C90">
        <w:rPr>
          <w:rFonts w:cstheme="minorHAnsi"/>
        </w:rPr>
        <w:t xml:space="preserve"> de l’activité des préparations des médicaments anticancéreux injectables sous la forme d’un audit croisé.</w:t>
      </w:r>
    </w:p>
    <w:p w:rsidR="00636773" w:rsidRPr="00F67C90" w:rsidRDefault="00636773" w:rsidP="00F67C90">
      <w:pPr>
        <w:pStyle w:val="Titre1"/>
        <w:pBdr>
          <w:bottom w:val="single" w:sz="12" w:space="1" w:color="2DAAA0"/>
        </w:pBdr>
        <w:spacing w:before="0" w:line="240" w:lineRule="auto"/>
        <w:jc w:val="both"/>
        <w:rPr>
          <w:rFonts w:ascii="Calibri" w:hAnsi="Calibri"/>
          <w:color w:val="2DAAA0"/>
        </w:rPr>
      </w:pPr>
      <w:r w:rsidRPr="00F67C90">
        <w:rPr>
          <w:rFonts w:ascii="Calibri" w:hAnsi="Calibri"/>
          <w:color w:val="2DAAA0"/>
        </w:rPr>
        <w:t>Objectifs </w:t>
      </w:r>
    </w:p>
    <w:p w:rsidR="00D35235" w:rsidRPr="00F67C90" w:rsidRDefault="008F0D60" w:rsidP="00EE55D3">
      <w:pPr>
        <w:jc w:val="both"/>
        <w:rPr>
          <w:rFonts w:cstheme="minorHAnsi"/>
        </w:rPr>
      </w:pPr>
      <w:r w:rsidRPr="00F67C90">
        <w:rPr>
          <w:rFonts w:cstheme="minorHAnsi"/>
        </w:rPr>
        <w:t>L’objectif des p</w:t>
      </w:r>
      <w:r w:rsidR="00D35235" w:rsidRPr="00F67C90">
        <w:rPr>
          <w:rFonts w:cstheme="minorHAnsi"/>
        </w:rPr>
        <w:t>rojets d’audits croisés est de </w:t>
      </w:r>
      <w:r w:rsidRPr="00F67C90">
        <w:rPr>
          <w:rFonts w:cstheme="minorHAnsi"/>
        </w:rPr>
        <w:t>favoriser l’échange d’expérience dans les domaines de la qualité et de la gestion des risques entre les établissements</w:t>
      </w:r>
      <w:r w:rsidR="00D35235" w:rsidRPr="00F67C90">
        <w:rPr>
          <w:rFonts w:cstheme="minorHAnsi"/>
        </w:rPr>
        <w:t xml:space="preserve"> et les professionnels de santé et de réaliser un état des lieux sur l’unité de préparation des médicaments anticancéreux injectables.</w:t>
      </w:r>
    </w:p>
    <w:p w:rsidR="00636773" w:rsidRPr="00F67C90" w:rsidRDefault="008F0D60" w:rsidP="00EE55D3">
      <w:pPr>
        <w:jc w:val="both"/>
        <w:rPr>
          <w:rFonts w:cstheme="minorHAnsi"/>
        </w:rPr>
      </w:pPr>
      <w:r w:rsidRPr="00F67C90">
        <w:rPr>
          <w:rFonts w:cstheme="minorHAnsi"/>
        </w:rPr>
        <w:t>L’objectif étant de proposer une itération tous les 2 ans.</w:t>
      </w:r>
    </w:p>
    <w:p w:rsidR="00201611" w:rsidRPr="00F67C90" w:rsidRDefault="00636773" w:rsidP="00F67C90">
      <w:pPr>
        <w:pStyle w:val="Titre1"/>
        <w:pBdr>
          <w:bottom w:val="single" w:sz="12" w:space="1" w:color="2DAAA0"/>
        </w:pBdr>
        <w:spacing w:before="0" w:line="240" w:lineRule="auto"/>
        <w:jc w:val="both"/>
        <w:rPr>
          <w:rFonts w:ascii="Calibri" w:hAnsi="Calibri"/>
          <w:color w:val="2DAAA0"/>
        </w:rPr>
      </w:pPr>
      <w:r w:rsidRPr="00F67C90">
        <w:rPr>
          <w:rFonts w:ascii="Calibri" w:hAnsi="Calibri"/>
          <w:color w:val="2DAAA0"/>
        </w:rPr>
        <w:t>Méthode</w:t>
      </w:r>
    </w:p>
    <w:p w:rsidR="00636773" w:rsidRPr="00F67C90" w:rsidRDefault="00201611" w:rsidP="00EE55D3">
      <w:pPr>
        <w:pStyle w:val="Style1"/>
        <w:autoSpaceDE w:val="0"/>
        <w:jc w:val="both"/>
        <w:rPr>
          <w:rFonts w:asciiTheme="minorHAnsi" w:hAnsiTheme="minorHAnsi" w:cstheme="minorHAnsi"/>
        </w:rPr>
      </w:pPr>
      <w:r w:rsidRPr="00F67C90">
        <w:rPr>
          <w:rFonts w:asciiTheme="minorHAnsi" w:eastAsia="Arial" w:hAnsiTheme="minorHAnsi" w:cstheme="minorHAnsi"/>
          <w:noProof/>
        </w:rPr>
        <w:t xml:space="preserve">La grille d'audit a été élaborée par l’ARS Ile de France et a été validée par un groupe de travail « Audit croisé Médicament UPC » de la région Normandie. Ce groupe était composé d’experts dans le domaine étudié : pharmacien hospitalier, préparateur en pharmacie, responsable qualité travaillant au sein d’UPC de la région. </w:t>
      </w:r>
      <w:r w:rsidRPr="00F67C90">
        <w:rPr>
          <w:rFonts w:asciiTheme="minorHAnsi" w:hAnsiTheme="minorHAnsi" w:cstheme="minorHAnsi"/>
        </w:rPr>
        <w:t>Ce travail s’est appuyé sur l’étude de référentiels reconnus en la matière et du travail de l’</w:t>
      </w:r>
      <w:proofErr w:type="spellStart"/>
      <w:r w:rsidRPr="00F67C90">
        <w:rPr>
          <w:rFonts w:asciiTheme="minorHAnsi" w:hAnsiTheme="minorHAnsi" w:cstheme="minorHAnsi"/>
        </w:rPr>
        <w:t>Omédit</w:t>
      </w:r>
      <w:proofErr w:type="spellEnd"/>
      <w:r w:rsidRPr="00F67C90">
        <w:rPr>
          <w:rFonts w:asciiTheme="minorHAnsi" w:hAnsiTheme="minorHAnsi" w:cstheme="minorHAnsi"/>
        </w:rPr>
        <w:t xml:space="preserve"> Ile de France.</w:t>
      </w:r>
    </w:p>
    <w:p w:rsidR="00522002" w:rsidRPr="00F67C90" w:rsidRDefault="00522002" w:rsidP="00EE55D3">
      <w:pPr>
        <w:pStyle w:val="Style1"/>
        <w:autoSpaceDE w:val="0"/>
        <w:jc w:val="both"/>
        <w:rPr>
          <w:rFonts w:asciiTheme="minorHAnsi" w:hAnsiTheme="minorHAnsi" w:cstheme="minorHAnsi"/>
        </w:rPr>
      </w:pPr>
    </w:p>
    <w:p w:rsidR="00522002" w:rsidRPr="00F67C90" w:rsidRDefault="00522002" w:rsidP="00522002">
      <w:pPr>
        <w:pStyle w:val="Style1"/>
        <w:suppressAutoHyphens/>
        <w:jc w:val="both"/>
        <w:rPr>
          <w:rFonts w:asciiTheme="minorHAnsi" w:hAnsiTheme="minorHAnsi" w:cstheme="minorHAnsi"/>
        </w:rPr>
      </w:pPr>
      <w:r w:rsidRPr="00F67C90">
        <w:rPr>
          <w:rFonts w:asciiTheme="minorHAnsi" w:hAnsiTheme="minorHAnsi" w:cstheme="minorHAnsi"/>
        </w:rPr>
        <w:t>L’audit est composé de 2 parties :</w:t>
      </w:r>
    </w:p>
    <w:p w:rsidR="00522002" w:rsidRPr="00F67C90" w:rsidRDefault="00370B1F" w:rsidP="00522002">
      <w:pPr>
        <w:pStyle w:val="Style1"/>
        <w:suppressAutoHyphens/>
        <w:jc w:val="both"/>
        <w:rPr>
          <w:rFonts w:asciiTheme="minorHAnsi" w:hAnsiTheme="minorHAnsi" w:cstheme="minorHAnsi"/>
        </w:rPr>
      </w:pPr>
      <w:r>
        <w:rPr>
          <w:rFonts w:asciiTheme="minorHAnsi" w:hAnsiTheme="minorHAnsi" w:cstheme="minorHAnsi"/>
          <w:b/>
        </w:rPr>
        <w:t>1 partie en « A</w:t>
      </w:r>
      <w:r w:rsidR="00522002" w:rsidRPr="00F67C90">
        <w:rPr>
          <w:rFonts w:asciiTheme="minorHAnsi" w:hAnsiTheme="minorHAnsi" w:cstheme="minorHAnsi"/>
          <w:b/>
        </w:rPr>
        <w:t>uto-évaluation »</w:t>
      </w:r>
      <w:r w:rsidR="00522002" w:rsidRPr="00F67C90">
        <w:rPr>
          <w:rFonts w:asciiTheme="minorHAnsi" w:hAnsiTheme="minorHAnsi" w:cstheme="minorHAnsi"/>
        </w:rPr>
        <w:t xml:space="preserve"> concernant les onglets « Pilote et management » et « Coopération et sous-traitance » dans la grille: A réaliser en auto-évaluation par la structure (en amont de la </w:t>
      </w:r>
      <w:r w:rsidR="003A347E">
        <w:rPr>
          <w:rFonts w:asciiTheme="minorHAnsi" w:hAnsiTheme="minorHAnsi" w:cstheme="minorHAnsi"/>
        </w:rPr>
        <w:t>demi-</w:t>
      </w:r>
      <w:r w:rsidR="00522002" w:rsidRPr="00F67C90">
        <w:rPr>
          <w:rFonts w:asciiTheme="minorHAnsi" w:hAnsiTheme="minorHAnsi" w:cstheme="minorHAnsi"/>
        </w:rPr>
        <w:t xml:space="preserve">journée d’audit). </w:t>
      </w:r>
    </w:p>
    <w:p w:rsidR="00522002" w:rsidRPr="00F67C90" w:rsidRDefault="00522002" w:rsidP="00522002">
      <w:pPr>
        <w:pStyle w:val="Style1"/>
        <w:suppressAutoHyphens/>
        <w:jc w:val="both"/>
        <w:rPr>
          <w:rFonts w:asciiTheme="minorHAnsi" w:hAnsiTheme="minorHAnsi" w:cstheme="minorHAnsi"/>
        </w:rPr>
      </w:pPr>
    </w:p>
    <w:p w:rsidR="00522002" w:rsidRDefault="00522002" w:rsidP="00522002">
      <w:pPr>
        <w:pStyle w:val="Style1"/>
        <w:suppressAutoHyphens/>
        <w:jc w:val="both"/>
        <w:rPr>
          <w:rFonts w:asciiTheme="minorHAnsi" w:hAnsiTheme="minorHAnsi" w:cstheme="minorHAnsi"/>
        </w:rPr>
      </w:pPr>
      <w:r w:rsidRPr="00F67C90">
        <w:rPr>
          <w:rFonts w:asciiTheme="minorHAnsi" w:hAnsiTheme="minorHAnsi" w:cstheme="minorHAnsi"/>
          <w:b/>
        </w:rPr>
        <w:t>1 partie en « Audit croisé »</w:t>
      </w:r>
      <w:r w:rsidRPr="00F67C90">
        <w:rPr>
          <w:rFonts w:asciiTheme="minorHAnsi" w:hAnsiTheme="minorHAnsi" w:cstheme="minorHAnsi"/>
        </w:rPr>
        <w:t xml:space="preserve"> réalisée en présence des auditeurs externes. Elle concerne l’onglet «</w:t>
      </w:r>
      <w:r w:rsidR="000576B9">
        <w:rPr>
          <w:rFonts w:asciiTheme="minorHAnsi" w:hAnsiTheme="minorHAnsi" w:cstheme="minorHAnsi"/>
        </w:rPr>
        <w:t> Processus » dans la grille</w:t>
      </w:r>
    </w:p>
    <w:p w:rsidR="000576B9" w:rsidRDefault="000576B9" w:rsidP="000576B9">
      <w:pPr>
        <w:pStyle w:val="Titre1"/>
        <w:pBdr>
          <w:bottom w:val="single" w:sz="12" w:space="1" w:color="2DAAA0"/>
        </w:pBdr>
        <w:spacing w:before="0" w:line="240" w:lineRule="auto"/>
        <w:jc w:val="both"/>
        <w:rPr>
          <w:rFonts w:ascii="Calibri" w:hAnsi="Calibri"/>
          <w:color w:val="2DAAA0"/>
        </w:rPr>
      </w:pPr>
    </w:p>
    <w:p w:rsidR="000576B9" w:rsidRPr="00F67C90" w:rsidRDefault="000576B9" w:rsidP="000576B9">
      <w:pPr>
        <w:pStyle w:val="Titre1"/>
        <w:pBdr>
          <w:bottom w:val="single" w:sz="12" w:space="1" w:color="2DAAA0"/>
        </w:pBdr>
        <w:spacing w:before="0" w:line="240" w:lineRule="auto"/>
        <w:jc w:val="both"/>
        <w:rPr>
          <w:rFonts w:ascii="Calibri" w:hAnsi="Calibri"/>
          <w:color w:val="2DAAA0"/>
        </w:rPr>
      </w:pPr>
      <w:r w:rsidRPr="00F67C90">
        <w:rPr>
          <w:rFonts w:ascii="Calibri" w:hAnsi="Calibri"/>
          <w:color w:val="2DAAA0"/>
        </w:rPr>
        <w:t>Professionnels rencontrés dans le cadre de l’audit</w:t>
      </w:r>
    </w:p>
    <w:p w:rsidR="000576B9" w:rsidRPr="00F67C90" w:rsidRDefault="000576B9" w:rsidP="000576B9">
      <w:pPr>
        <w:jc w:val="both"/>
        <w:rPr>
          <w:rFonts w:cstheme="minorHAnsi"/>
        </w:rPr>
      </w:pPr>
      <w:r w:rsidRPr="00F67C90">
        <w:rPr>
          <w:rFonts w:cstheme="minorHAnsi"/>
        </w:rPr>
        <w:t xml:space="preserve">Pour la partie auto évaluation et audit croisé, il est fortement recommandé de réaliser le remplissage </w:t>
      </w:r>
      <w:r>
        <w:rPr>
          <w:rFonts w:cstheme="minorHAnsi"/>
        </w:rPr>
        <w:t>en équipe pluridisciplinaire en échangeant avec</w:t>
      </w:r>
      <w:r w:rsidRPr="00F67C90">
        <w:rPr>
          <w:rFonts w:cstheme="minorHAnsi"/>
        </w:rPr>
        <w:t xml:space="preserve"> les profils professionnels suivants, notamment : </w:t>
      </w:r>
    </w:p>
    <w:p w:rsidR="000576B9" w:rsidRPr="00F67C90" w:rsidRDefault="000576B9" w:rsidP="000576B9">
      <w:pPr>
        <w:spacing w:after="0"/>
        <w:jc w:val="both"/>
        <w:rPr>
          <w:rFonts w:cstheme="minorHAnsi"/>
        </w:rPr>
      </w:pPr>
      <w:r w:rsidRPr="00F67C90">
        <w:rPr>
          <w:rFonts w:cstheme="minorHAnsi"/>
        </w:rPr>
        <w:t>- le(s) pharmacien(s) impliqué(s) dans la préparation des médicaments anticancéreux stériles ;</w:t>
      </w:r>
    </w:p>
    <w:p w:rsidR="000576B9" w:rsidRPr="00F67C90" w:rsidRDefault="000576B9" w:rsidP="000576B9">
      <w:pPr>
        <w:spacing w:after="0"/>
        <w:jc w:val="both"/>
        <w:rPr>
          <w:rFonts w:cstheme="minorHAnsi"/>
        </w:rPr>
      </w:pPr>
      <w:r w:rsidRPr="00F67C90">
        <w:rPr>
          <w:rFonts w:cstheme="minorHAnsi"/>
        </w:rPr>
        <w:t>- le(s) préparateur(s) en pharmacie affectés à l'UPAC ;</w:t>
      </w:r>
    </w:p>
    <w:p w:rsidR="000576B9" w:rsidRPr="00F67C90" w:rsidRDefault="000576B9" w:rsidP="000576B9">
      <w:pPr>
        <w:spacing w:after="0"/>
        <w:jc w:val="both"/>
        <w:rPr>
          <w:rFonts w:cstheme="minorHAnsi"/>
        </w:rPr>
      </w:pPr>
      <w:r w:rsidRPr="00F67C90">
        <w:rPr>
          <w:rFonts w:cstheme="minorHAnsi"/>
        </w:rPr>
        <w:t>- un ou plusieurs médecin(s) oncologue(s)/hématologue(s) ;</w:t>
      </w:r>
    </w:p>
    <w:p w:rsidR="000576B9" w:rsidRPr="00F67C90" w:rsidRDefault="000576B9" w:rsidP="000576B9">
      <w:pPr>
        <w:spacing w:after="0"/>
        <w:jc w:val="both"/>
        <w:rPr>
          <w:rFonts w:cstheme="minorHAnsi"/>
        </w:rPr>
      </w:pPr>
      <w:r w:rsidRPr="00F67C90">
        <w:rPr>
          <w:rFonts w:cstheme="minorHAnsi"/>
        </w:rPr>
        <w:t>- un cadre ou IDE d'Hospitalisation de Jour et/ou d'Hospitalisation Complète ;</w:t>
      </w:r>
    </w:p>
    <w:p w:rsidR="000576B9" w:rsidRPr="00F67C90" w:rsidRDefault="000576B9" w:rsidP="000576B9">
      <w:pPr>
        <w:spacing w:after="0"/>
        <w:jc w:val="both"/>
        <w:rPr>
          <w:rFonts w:cstheme="minorHAnsi"/>
        </w:rPr>
      </w:pPr>
      <w:r w:rsidRPr="00F67C90">
        <w:rPr>
          <w:rFonts w:cstheme="minorHAnsi"/>
        </w:rPr>
        <w:t>- un personnel technique en charge de l'entretien de la ZAC pour certaines questions ;</w:t>
      </w:r>
    </w:p>
    <w:p w:rsidR="000576B9" w:rsidRPr="00F67C90" w:rsidRDefault="000576B9" w:rsidP="00606099">
      <w:pPr>
        <w:spacing w:after="0"/>
        <w:jc w:val="both"/>
        <w:rPr>
          <w:rFonts w:cstheme="minorHAnsi"/>
        </w:rPr>
      </w:pPr>
      <w:r w:rsidRPr="00F67C90">
        <w:rPr>
          <w:rFonts w:cstheme="minorHAnsi"/>
        </w:rPr>
        <w:t>- le gestionnaire de risque/responsable qualité.</w:t>
      </w:r>
    </w:p>
    <w:p w:rsidR="00522002" w:rsidRPr="00F67C90" w:rsidRDefault="00522002" w:rsidP="00EE55D3">
      <w:pPr>
        <w:pStyle w:val="Style1"/>
        <w:autoSpaceDE w:val="0"/>
        <w:jc w:val="both"/>
        <w:rPr>
          <w:rFonts w:asciiTheme="minorHAnsi" w:hAnsiTheme="minorHAnsi" w:cstheme="minorHAnsi"/>
        </w:rPr>
      </w:pPr>
    </w:p>
    <w:p w:rsidR="00EF5FCA" w:rsidRPr="00F67C90" w:rsidRDefault="00EF5FCA" w:rsidP="00F67C90">
      <w:pPr>
        <w:pStyle w:val="Titre1"/>
        <w:pBdr>
          <w:bottom w:val="single" w:sz="12" w:space="1" w:color="2DAAA0"/>
        </w:pBdr>
        <w:spacing w:before="0" w:line="240" w:lineRule="auto"/>
        <w:jc w:val="both"/>
        <w:rPr>
          <w:rFonts w:ascii="Calibri" w:hAnsi="Calibri"/>
          <w:color w:val="2DAAA0"/>
        </w:rPr>
      </w:pPr>
      <w:r w:rsidRPr="00F67C90">
        <w:rPr>
          <w:rFonts w:ascii="Calibri" w:hAnsi="Calibri"/>
          <w:color w:val="2DAAA0"/>
        </w:rPr>
        <w:t>Mode d’empl</w:t>
      </w:r>
      <w:r w:rsidR="00D54019" w:rsidRPr="00F67C90">
        <w:rPr>
          <w:rFonts w:ascii="Calibri" w:hAnsi="Calibri"/>
          <w:color w:val="2DAAA0"/>
        </w:rPr>
        <w:t>oi d’utilisation de la grille</w:t>
      </w:r>
    </w:p>
    <w:p w:rsidR="00A04199" w:rsidRPr="00F67C90" w:rsidRDefault="00A04199" w:rsidP="00EE55D3">
      <w:pPr>
        <w:jc w:val="both"/>
        <w:rPr>
          <w:rFonts w:cstheme="minorHAnsi"/>
        </w:rPr>
      </w:pPr>
      <w:r w:rsidRPr="00F67C90">
        <w:rPr>
          <w:rFonts w:cstheme="minorHAnsi"/>
        </w:rPr>
        <w:t xml:space="preserve">Les questions de l'outil </w:t>
      </w:r>
      <w:proofErr w:type="spellStart"/>
      <w:r w:rsidRPr="00F67C90">
        <w:rPr>
          <w:rFonts w:cstheme="minorHAnsi"/>
        </w:rPr>
        <w:t>ChimioPREP</w:t>
      </w:r>
      <w:proofErr w:type="spellEnd"/>
      <w:r w:rsidRPr="00F67C90">
        <w:rPr>
          <w:rFonts w:cstheme="minorHAnsi"/>
        </w:rPr>
        <w:t xml:space="preserve"> sont réparties en </w:t>
      </w:r>
      <w:r w:rsidR="00522002" w:rsidRPr="00F67C90">
        <w:rPr>
          <w:rFonts w:cstheme="minorHAnsi"/>
        </w:rPr>
        <w:t>3</w:t>
      </w:r>
      <w:r w:rsidRPr="00F67C90">
        <w:rPr>
          <w:rFonts w:cstheme="minorHAnsi"/>
        </w:rPr>
        <w:t xml:space="preserve"> onglets qui permettent d'évaluer les forces et les points critiques de vos Unités de Préparation de médicaments </w:t>
      </w:r>
      <w:proofErr w:type="spellStart"/>
      <w:r w:rsidRPr="00F67C90">
        <w:rPr>
          <w:rFonts w:cstheme="minorHAnsi"/>
        </w:rPr>
        <w:t>AntiCancéreux</w:t>
      </w:r>
      <w:proofErr w:type="spellEnd"/>
      <w:r w:rsidRPr="00F67C90">
        <w:rPr>
          <w:rFonts w:cstheme="minorHAnsi"/>
        </w:rPr>
        <w:t xml:space="preserve"> (UPAC) :</w:t>
      </w:r>
    </w:p>
    <w:p w:rsidR="005550A3" w:rsidRPr="00F67C90" w:rsidRDefault="00A04199" w:rsidP="00EE55D3">
      <w:pPr>
        <w:jc w:val="both"/>
        <w:rPr>
          <w:rFonts w:cstheme="minorHAnsi"/>
        </w:rPr>
      </w:pPr>
      <w:r w:rsidRPr="00F67C90">
        <w:rPr>
          <w:rFonts w:cstheme="minorHAnsi"/>
        </w:rPr>
        <w:t xml:space="preserve">          - </w:t>
      </w:r>
      <w:r w:rsidRPr="003A347E">
        <w:rPr>
          <w:rFonts w:cstheme="minorHAnsi"/>
          <w:b/>
        </w:rPr>
        <w:t>un onglet "Pilotage et Management"</w:t>
      </w:r>
      <w:r w:rsidRPr="00F67C90">
        <w:rPr>
          <w:rFonts w:cstheme="minorHAnsi"/>
        </w:rPr>
        <w:t xml:space="preserve"> comportant 5 </w:t>
      </w:r>
      <w:r w:rsidR="00C65AD8" w:rsidRPr="00F67C90">
        <w:rPr>
          <w:rFonts w:cstheme="minorHAnsi"/>
        </w:rPr>
        <w:t>thèmes</w:t>
      </w:r>
      <w:r w:rsidRPr="00F67C90">
        <w:rPr>
          <w:rFonts w:cstheme="minorHAnsi"/>
        </w:rPr>
        <w:t xml:space="preserve"> principaux : Qualité Hygiène et Gestion des Risques, Système d'information, Formation-Evaluation-Personnel, ZAC locaux Maintenance Surveillance, ZAC Equipement Maintenance Surveillance </w:t>
      </w:r>
      <w:r w:rsidRPr="003A347E">
        <w:rPr>
          <w:rFonts w:cstheme="minorHAnsi"/>
        </w:rPr>
        <w:t xml:space="preserve">: </w:t>
      </w:r>
      <w:r w:rsidRPr="003A347E">
        <w:rPr>
          <w:rFonts w:cstheme="minorHAnsi"/>
          <w:b/>
        </w:rPr>
        <w:t>à réaliser en auto-évaluation</w:t>
      </w:r>
    </w:p>
    <w:p w:rsidR="00A04199" w:rsidRPr="003A347E" w:rsidRDefault="00A04199" w:rsidP="00EE55D3">
      <w:pPr>
        <w:jc w:val="both"/>
        <w:rPr>
          <w:rFonts w:cstheme="minorHAnsi"/>
          <w:b/>
        </w:rPr>
      </w:pPr>
      <w:r w:rsidRPr="00F67C90">
        <w:rPr>
          <w:rFonts w:cstheme="minorHAnsi"/>
        </w:rPr>
        <w:lastRenderedPageBreak/>
        <w:t xml:space="preserve">          - </w:t>
      </w:r>
      <w:r w:rsidRPr="003A347E">
        <w:rPr>
          <w:rFonts w:cstheme="minorHAnsi"/>
          <w:b/>
        </w:rPr>
        <w:t>un onglet "Processus"</w:t>
      </w:r>
      <w:r w:rsidRPr="00F67C90">
        <w:rPr>
          <w:rFonts w:cstheme="minorHAnsi"/>
        </w:rPr>
        <w:t xml:space="preserve"> comportant 7 étapes : Prescription des anticancéreux stériles dans l'établissement, Validation pharmaceutique, Préparation-Fabrication, Stockage, Contrôle-Libération, Livraison-Réception dans l'unité de soin, Administration </w:t>
      </w:r>
      <w:r w:rsidRPr="003A347E">
        <w:rPr>
          <w:rFonts w:cstheme="minorHAnsi"/>
          <w:b/>
        </w:rPr>
        <w:t>: à réaliser en audit croisé</w:t>
      </w:r>
    </w:p>
    <w:p w:rsidR="00A04199" w:rsidRPr="008375F5" w:rsidRDefault="00A04199" w:rsidP="008375F5">
      <w:pPr>
        <w:jc w:val="both"/>
        <w:rPr>
          <w:rFonts w:cstheme="minorHAnsi"/>
          <w:b/>
        </w:rPr>
      </w:pPr>
      <w:r w:rsidRPr="00F67C90">
        <w:rPr>
          <w:rFonts w:cstheme="minorHAnsi"/>
        </w:rPr>
        <w:t xml:space="preserve">          - </w:t>
      </w:r>
      <w:r w:rsidRPr="003A347E">
        <w:rPr>
          <w:rFonts w:cstheme="minorHAnsi"/>
          <w:b/>
        </w:rPr>
        <w:t>un onglet "Coopération - Sous-Traitance"</w:t>
      </w:r>
      <w:r w:rsidRPr="00F67C90">
        <w:rPr>
          <w:rFonts w:cstheme="minorHAnsi"/>
        </w:rPr>
        <w:t xml:space="preserve"> permettant d’évaluer les pratiques organisationnelles du processus de préparation dans le cadre d’une coopération pharmaceutique mise en place entre des établissements partenaires (donneur d’ordre et prestataire) </w:t>
      </w:r>
      <w:r w:rsidRPr="003A347E">
        <w:rPr>
          <w:rFonts w:cstheme="minorHAnsi"/>
          <w:b/>
        </w:rPr>
        <w:t>: à réaliser en auto-évaluation</w:t>
      </w:r>
    </w:p>
    <w:p w:rsidR="003A347E" w:rsidRPr="00F67C90" w:rsidRDefault="003A347E" w:rsidP="00EE55D3">
      <w:pPr>
        <w:spacing w:after="0"/>
        <w:jc w:val="both"/>
        <w:rPr>
          <w:rFonts w:cstheme="minorHAnsi"/>
        </w:rPr>
      </w:pPr>
    </w:p>
    <w:p w:rsidR="00A04199" w:rsidRPr="00F67C90" w:rsidRDefault="00A04199" w:rsidP="00F67C90">
      <w:pPr>
        <w:pStyle w:val="Titre1"/>
        <w:pBdr>
          <w:bottom w:val="single" w:sz="12" w:space="1" w:color="2DAAA0"/>
        </w:pBdr>
        <w:spacing w:before="0" w:line="240" w:lineRule="auto"/>
        <w:jc w:val="both"/>
        <w:rPr>
          <w:rFonts w:ascii="Calibri" w:hAnsi="Calibri"/>
          <w:color w:val="2DAAA0"/>
        </w:rPr>
      </w:pPr>
      <w:r w:rsidRPr="00F67C90">
        <w:rPr>
          <w:rFonts w:ascii="Calibri" w:hAnsi="Calibri"/>
          <w:color w:val="2DAAA0"/>
        </w:rPr>
        <w:t xml:space="preserve">Comment </w:t>
      </w:r>
      <w:r w:rsidR="00522002" w:rsidRPr="00F67C90">
        <w:rPr>
          <w:rFonts w:ascii="Calibri" w:hAnsi="Calibri"/>
          <w:color w:val="2DAAA0"/>
        </w:rPr>
        <w:t>remplir la grille</w:t>
      </w:r>
      <w:r w:rsidRPr="00F67C90">
        <w:rPr>
          <w:rFonts w:ascii="Calibri" w:hAnsi="Calibri"/>
          <w:color w:val="2DAAA0"/>
        </w:rPr>
        <w:t xml:space="preserve"> ? </w:t>
      </w:r>
    </w:p>
    <w:p w:rsidR="005550A3" w:rsidRDefault="005550A3" w:rsidP="00EE55D3">
      <w:pPr>
        <w:jc w:val="both"/>
        <w:rPr>
          <w:rFonts w:cstheme="minorHAnsi"/>
        </w:rPr>
      </w:pPr>
    </w:p>
    <w:p w:rsidR="00606099" w:rsidRPr="00606099" w:rsidRDefault="005550A3" w:rsidP="00606099">
      <w:pPr>
        <w:pStyle w:val="Paragraphedeliste"/>
        <w:numPr>
          <w:ilvl w:val="0"/>
          <w:numId w:val="3"/>
        </w:numPr>
        <w:jc w:val="both"/>
        <w:rPr>
          <w:rFonts w:cstheme="minorHAnsi"/>
        </w:rPr>
      </w:pPr>
      <w:r>
        <w:rPr>
          <w:rFonts w:cstheme="minorHAnsi"/>
        </w:rPr>
        <w:t xml:space="preserve">Renseigner la partie </w:t>
      </w:r>
      <w:r w:rsidRPr="00C32555">
        <w:rPr>
          <w:rFonts w:cstheme="minorHAnsi"/>
          <w:b/>
        </w:rPr>
        <w:t>« Identification de l’établissement »</w:t>
      </w:r>
    </w:p>
    <w:p w:rsidR="00C32555" w:rsidRDefault="00C32555" w:rsidP="00C32555">
      <w:pPr>
        <w:jc w:val="center"/>
        <w:rPr>
          <w:rFonts w:cstheme="minorHAnsi"/>
        </w:rPr>
      </w:pPr>
      <w:r>
        <w:rPr>
          <w:noProof/>
          <w:lang w:eastAsia="fr-FR"/>
        </w:rPr>
        <w:drawing>
          <wp:inline distT="0" distB="0" distL="0" distR="0" wp14:anchorId="5D647440" wp14:editId="6BD2D2DB">
            <wp:extent cx="6370747" cy="11463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89451" cy="1149678"/>
                    </a:xfrm>
                    <a:prstGeom prst="rect">
                      <a:avLst/>
                    </a:prstGeom>
                  </pic:spPr>
                </pic:pic>
              </a:graphicData>
            </a:graphic>
          </wp:inline>
        </w:drawing>
      </w:r>
    </w:p>
    <w:p w:rsidR="00606099" w:rsidRDefault="00606099" w:rsidP="00606099">
      <w:pPr>
        <w:jc w:val="both"/>
        <w:rPr>
          <w:rFonts w:cstheme="minorHAnsi"/>
          <w:b/>
        </w:rPr>
      </w:pPr>
    </w:p>
    <w:p w:rsidR="00606099" w:rsidRPr="000D7A4A" w:rsidRDefault="00606099" w:rsidP="00606099">
      <w:pPr>
        <w:jc w:val="both"/>
        <w:rPr>
          <w:rFonts w:cstheme="minorHAnsi"/>
          <w:b/>
        </w:rPr>
      </w:pPr>
      <w:r w:rsidRPr="000D7A4A">
        <w:rPr>
          <w:rFonts w:cstheme="minorHAnsi"/>
          <w:b/>
        </w:rPr>
        <w:t>Voici les parties de l'outil à renseigner en fonction de la situation de votre établissement :</w:t>
      </w:r>
    </w:p>
    <w:p w:rsidR="00C32555" w:rsidRPr="00C32555" w:rsidRDefault="00606099" w:rsidP="00C32555">
      <w:pPr>
        <w:jc w:val="center"/>
        <w:rPr>
          <w:rFonts w:cstheme="minorHAnsi"/>
        </w:rPr>
      </w:pPr>
      <w:r w:rsidRPr="00606099">
        <w:rPr>
          <w:rFonts w:cstheme="minorHAnsi"/>
          <w:noProof/>
          <w:sz w:val="24"/>
          <w:lang w:eastAsia="fr-FR"/>
        </w:rPr>
        <w:drawing>
          <wp:inline distT="0" distB="0" distL="0" distR="0" wp14:anchorId="61A6B198" wp14:editId="52F7F2B4">
            <wp:extent cx="6333670" cy="1631950"/>
            <wp:effectExtent l="0" t="0" r="0" b="6350"/>
            <wp:docPr id="108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 name="Imag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9222" cy="1633381"/>
                    </a:xfrm>
                    <a:prstGeom prst="rect">
                      <a:avLst/>
                    </a:prstGeom>
                    <a:noFill/>
                    <a:ln>
                      <a:noFill/>
                    </a:ln>
                    <a:extLst/>
                  </pic:spPr>
                </pic:pic>
              </a:graphicData>
            </a:graphic>
          </wp:inline>
        </w:drawing>
      </w:r>
    </w:p>
    <w:p w:rsidR="005550A3" w:rsidRDefault="005550A3" w:rsidP="005550A3">
      <w:pPr>
        <w:pStyle w:val="Paragraphedeliste"/>
        <w:numPr>
          <w:ilvl w:val="0"/>
          <w:numId w:val="3"/>
        </w:numPr>
        <w:jc w:val="both"/>
        <w:rPr>
          <w:rFonts w:cstheme="minorHAnsi"/>
        </w:rPr>
      </w:pPr>
      <w:r>
        <w:rPr>
          <w:rFonts w:cstheme="minorHAnsi"/>
        </w:rPr>
        <w:t xml:space="preserve">Remplissage </w:t>
      </w:r>
      <w:r w:rsidR="00606099">
        <w:rPr>
          <w:rFonts w:cstheme="minorHAnsi"/>
        </w:rPr>
        <w:t>des</w:t>
      </w:r>
      <w:r>
        <w:rPr>
          <w:rFonts w:cstheme="minorHAnsi"/>
        </w:rPr>
        <w:t xml:space="preserve"> partie</w:t>
      </w:r>
      <w:r w:rsidR="00606099">
        <w:rPr>
          <w:rFonts w:cstheme="minorHAnsi"/>
        </w:rPr>
        <w:t>s</w:t>
      </w:r>
      <w:r>
        <w:rPr>
          <w:rFonts w:cstheme="minorHAnsi"/>
        </w:rPr>
        <w:t xml:space="preserve"> de l’audit en auto</w:t>
      </w:r>
      <w:r w:rsidR="00606099">
        <w:rPr>
          <w:rFonts w:cstheme="minorHAnsi"/>
        </w:rPr>
        <w:t>-</w:t>
      </w:r>
      <w:r>
        <w:rPr>
          <w:rFonts w:cstheme="minorHAnsi"/>
        </w:rPr>
        <w:t>évaluation par l’unité auditée</w:t>
      </w:r>
      <w:r w:rsidR="00606099">
        <w:rPr>
          <w:rFonts w:cstheme="minorHAnsi"/>
        </w:rPr>
        <w:t xml:space="preserve"> selon la situation de l’établissement (voir ci-dessus)</w:t>
      </w:r>
    </w:p>
    <w:p w:rsidR="008F5815" w:rsidRPr="008F5815" w:rsidRDefault="000576B9" w:rsidP="008F5815">
      <w:pPr>
        <w:pStyle w:val="Paragraphedeliste"/>
        <w:numPr>
          <w:ilvl w:val="1"/>
          <w:numId w:val="3"/>
        </w:numPr>
        <w:jc w:val="both"/>
        <w:rPr>
          <w:rFonts w:cstheme="minorHAnsi"/>
        </w:rPr>
      </w:pPr>
      <w:r>
        <w:rPr>
          <w:rFonts w:cstheme="minorHAnsi"/>
          <w:b/>
        </w:rPr>
        <w:t>O</w:t>
      </w:r>
      <w:r w:rsidR="00C32555">
        <w:rPr>
          <w:rFonts w:cstheme="minorHAnsi"/>
          <w:b/>
        </w:rPr>
        <w:t>nglet « </w:t>
      </w:r>
      <w:r w:rsidR="005550A3" w:rsidRPr="003A347E">
        <w:rPr>
          <w:rFonts w:cstheme="minorHAnsi"/>
          <w:b/>
        </w:rPr>
        <w:t>Pilotage et Management</w:t>
      </w:r>
      <w:r w:rsidR="00C32555">
        <w:rPr>
          <w:rFonts w:cstheme="minorHAnsi"/>
          <w:b/>
        </w:rPr>
        <w:t> »</w:t>
      </w:r>
    </w:p>
    <w:p w:rsidR="008F5815" w:rsidRPr="008F5815" w:rsidRDefault="008F5815" w:rsidP="008F5815">
      <w:pPr>
        <w:jc w:val="both"/>
        <w:rPr>
          <w:rFonts w:cstheme="minorHAnsi"/>
        </w:rPr>
      </w:pPr>
      <w:r>
        <w:rPr>
          <w:rFonts w:cstheme="minorHAnsi"/>
          <w:noProof/>
          <w:lang w:eastAsia="fr-FR"/>
        </w:rPr>
        <mc:AlternateContent>
          <mc:Choice Requires="wps">
            <w:drawing>
              <wp:anchor distT="0" distB="0" distL="114300" distR="114300" simplePos="0" relativeHeight="251661312" behindDoc="0" locked="0" layoutInCell="1" allowOverlap="1" wp14:anchorId="451DE06D" wp14:editId="263794D5">
                <wp:simplePos x="0" y="0"/>
                <wp:positionH relativeFrom="column">
                  <wp:posOffset>3741148</wp:posOffset>
                </wp:positionH>
                <wp:positionV relativeFrom="paragraph">
                  <wp:posOffset>205105</wp:posOffset>
                </wp:positionV>
                <wp:extent cx="1133061" cy="344556"/>
                <wp:effectExtent l="0" t="0" r="10160" b="17780"/>
                <wp:wrapNone/>
                <wp:docPr id="11" name="Ellipse 11"/>
                <wp:cNvGraphicFramePr/>
                <a:graphic xmlns:a="http://schemas.openxmlformats.org/drawingml/2006/main">
                  <a:graphicData uri="http://schemas.microsoft.com/office/word/2010/wordprocessingShape">
                    <wps:wsp>
                      <wps:cNvSpPr/>
                      <wps:spPr>
                        <a:xfrm>
                          <a:off x="0" y="0"/>
                          <a:ext cx="1133061" cy="34455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0AEE15" id="Ellipse 11" o:spid="_x0000_s1026" style="position:absolute;margin-left:294.6pt;margin-top:16.15pt;width:89.2pt;height:27.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" filled="f" strokecolor="red" strokeweight="1pt">
                <v:stroke joinstyle="miter"/>
              </v:oval>
            </w:pict>
          </mc:Fallback>
        </mc:AlternateContent>
      </w:r>
      <w:r>
        <w:rPr>
          <w:rFonts w:cstheme="minorHAnsi"/>
          <w:noProof/>
          <w:lang w:eastAsia="fr-FR"/>
        </w:rPr>
        <mc:AlternateContent>
          <mc:Choice Requires="wps">
            <w:drawing>
              <wp:anchor distT="0" distB="0" distL="114300" distR="114300" simplePos="0" relativeHeight="251659264" behindDoc="0" locked="0" layoutInCell="1" allowOverlap="1">
                <wp:simplePos x="0" y="0"/>
                <wp:positionH relativeFrom="column">
                  <wp:posOffset>1786436</wp:posOffset>
                </wp:positionH>
                <wp:positionV relativeFrom="paragraph">
                  <wp:posOffset>210911</wp:posOffset>
                </wp:positionV>
                <wp:extent cx="1133061" cy="344556"/>
                <wp:effectExtent l="0" t="0" r="10160" b="17780"/>
                <wp:wrapNone/>
                <wp:docPr id="10" name="Ellipse 10"/>
                <wp:cNvGraphicFramePr/>
                <a:graphic xmlns:a="http://schemas.openxmlformats.org/drawingml/2006/main">
                  <a:graphicData uri="http://schemas.microsoft.com/office/word/2010/wordprocessingShape">
                    <wps:wsp>
                      <wps:cNvSpPr/>
                      <wps:spPr>
                        <a:xfrm>
                          <a:off x="0" y="0"/>
                          <a:ext cx="1133061" cy="34455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5FE7F6" id="Ellipse 10" o:spid="_x0000_s1026" style="position:absolute;margin-left:140.65pt;margin-top:16.6pt;width:89.2pt;height:2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" filled="f" strokecolor="red" strokeweight="1pt">
                <v:stroke joinstyle="miter"/>
              </v:oval>
            </w:pict>
          </mc:Fallback>
        </mc:AlternateContent>
      </w:r>
    </w:p>
    <w:p w:rsidR="008F5815" w:rsidRPr="008F5815" w:rsidRDefault="008F5815" w:rsidP="008F5815">
      <w:pPr>
        <w:jc w:val="both"/>
        <w:rPr>
          <w:rFonts w:cstheme="minorHAnsi"/>
        </w:rPr>
      </w:pPr>
      <w:r>
        <w:rPr>
          <w:noProof/>
          <w:lang w:eastAsia="fr-FR"/>
        </w:rPr>
        <w:drawing>
          <wp:inline distT="0" distB="0" distL="0" distR="0" wp14:anchorId="1277DAC4" wp14:editId="1B103EC3">
            <wp:extent cx="5759450" cy="236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236220"/>
                    </a:xfrm>
                    <a:prstGeom prst="rect">
                      <a:avLst/>
                    </a:prstGeom>
                  </pic:spPr>
                </pic:pic>
              </a:graphicData>
            </a:graphic>
          </wp:inline>
        </w:drawing>
      </w:r>
    </w:p>
    <w:p w:rsidR="005550A3" w:rsidRPr="00706E40" w:rsidRDefault="000576B9" w:rsidP="005550A3">
      <w:pPr>
        <w:pStyle w:val="Paragraphedeliste"/>
        <w:numPr>
          <w:ilvl w:val="1"/>
          <w:numId w:val="3"/>
        </w:numPr>
        <w:jc w:val="both"/>
        <w:rPr>
          <w:rFonts w:cstheme="minorHAnsi"/>
        </w:rPr>
      </w:pPr>
      <w:r>
        <w:rPr>
          <w:rFonts w:cstheme="minorHAnsi"/>
          <w:b/>
        </w:rPr>
        <w:t>Onglet</w:t>
      </w:r>
      <w:r w:rsidR="00C32555">
        <w:rPr>
          <w:rFonts w:cstheme="minorHAnsi"/>
          <w:b/>
        </w:rPr>
        <w:t xml:space="preserve"> « Coopération - Sous-Traitance »</w:t>
      </w:r>
      <w:r w:rsidR="00253D80">
        <w:rPr>
          <w:rFonts w:cstheme="minorHAnsi"/>
          <w:b/>
        </w:rPr>
        <w:t xml:space="preserve"> </w:t>
      </w:r>
    </w:p>
    <w:p w:rsidR="00C32555" w:rsidRPr="008375F5" w:rsidRDefault="00706E40" w:rsidP="00C32555">
      <w:pPr>
        <w:pStyle w:val="Paragraphedeliste"/>
        <w:numPr>
          <w:ilvl w:val="2"/>
          <w:numId w:val="3"/>
        </w:numPr>
        <w:jc w:val="both"/>
        <w:rPr>
          <w:rFonts w:cstheme="minorHAnsi"/>
        </w:rPr>
      </w:pPr>
      <w:r w:rsidRPr="008375F5">
        <w:rPr>
          <w:rFonts w:cstheme="minorHAnsi"/>
        </w:rPr>
        <w:t xml:space="preserve">Attention : il faut bien compléter la première partie « Généralités sous </w:t>
      </w:r>
      <w:proofErr w:type="spellStart"/>
      <w:r w:rsidRPr="008375F5">
        <w:rPr>
          <w:rFonts w:cstheme="minorHAnsi"/>
        </w:rPr>
        <w:t>traitance</w:t>
      </w:r>
      <w:proofErr w:type="spellEnd"/>
      <w:r w:rsidR="008F5815" w:rsidRPr="008375F5">
        <w:rPr>
          <w:rFonts w:cstheme="minorHAnsi"/>
        </w:rPr>
        <w:t> »</w:t>
      </w:r>
      <w:r w:rsidRPr="008375F5">
        <w:rPr>
          <w:rFonts w:cstheme="minorHAnsi"/>
        </w:rPr>
        <w:t xml:space="preserve"> pour que le score de conformité soit conforme en fonction de votre établissement </w:t>
      </w:r>
      <w:r w:rsidR="008F5815" w:rsidRPr="008375F5">
        <w:rPr>
          <w:rFonts w:cstheme="minorHAnsi"/>
        </w:rPr>
        <w:t>(si vous n’êtes ni donneur d’ordre, ni prestataire, répondre « NON »).</w:t>
      </w:r>
    </w:p>
    <w:p w:rsidR="00706E40" w:rsidRPr="00C32555" w:rsidRDefault="00706E40" w:rsidP="00C32555">
      <w:pPr>
        <w:jc w:val="both"/>
        <w:rPr>
          <w:rFonts w:cstheme="minorHAnsi"/>
        </w:rPr>
      </w:pPr>
      <w:r>
        <w:rPr>
          <w:noProof/>
          <w:lang w:eastAsia="fr-FR"/>
        </w:rPr>
        <w:lastRenderedPageBreak/>
        <w:drawing>
          <wp:inline distT="0" distB="0" distL="0" distR="0" wp14:anchorId="6A9A3234" wp14:editId="3884EAFA">
            <wp:extent cx="5759450" cy="126532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1265323"/>
                    </a:xfrm>
                    <a:prstGeom prst="rect">
                      <a:avLst/>
                    </a:prstGeom>
                  </pic:spPr>
                </pic:pic>
              </a:graphicData>
            </a:graphic>
          </wp:inline>
        </w:drawing>
      </w:r>
    </w:p>
    <w:p w:rsidR="00D35235" w:rsidRDefault="005550A3" w:rsidP="005550A3">
      <w:pPr>
        <w:pStyle w:val="Paragraphedeliste"/>
        <w:numPr>
          <w:ilvl w:val="0"/>
          <w:numId w:val="3"/>
        </w:numPr>
        <w:jc w:val="both"/>
        <w:rPr>
          <w:rFonts w:cstheme="minorHAnsi"/>
        </w:rPr>
      </w:pPr>
      <w:r>
        <w:rPr>
          <w:rFonts w:cstheme="minorHAnsi"/>
        </w:rPr>
        <w:t xml:space="preserve">Remplissage de la partie en audit croisé par les auditeurs externes </w:t>
      </w:r>
      <w:r w:rsidR="00D35235" w:rsidRPr="005550A3">
        <w:rPr>
          <w:rFonts w:cstheme="minorHAnsi"/>
        </w:rPr>
        <w:t xml:space="preserve">travaillant également en unité de préparation des chimiothérapies et qui viennent </w:t>
      </w:r>
      <w:r w:rsidR="004F75A5">
        <w:rPr>
          <w:rFonts w:cstheme="minorHAnsi"/>
        </w:rPr>
        <w:t>observer et évaluer votre unité</w:t>
      </w:r>
    </w:p>
    <w:p w:rsidR="001933AC" w:rsidRPr="001933AC" w:rsidRDefault="000576B9" w:rsidP="001933AC">
      <w:pPr>
        <w:pStyle w:val="Paragraphedeliste"/>
        <w:numPr>
          <w:ilvl w:val="1"/>
          <w:numId w:val="3"/>
        </w:numPr>
        <w:jc w:val="both"/>
        <w:rPr>
          <w:rFonts w:cstheme="minorHAnsi"/>
        </w:rPr>
      </w:pPr>
      <w:r w:rsidRPr="003A347E">
        <w:rPr>
          <w:rFonts w:cstheme="minorHAnsi"/>
          <w:b/>
        </w:rPr>
        <w:t>Onglet</w:t>
      </w:r>
      <w:r w:rsidR="004F75A5" w:rsidRPr="003A347E">
        <w:rPr>
          <w:rFonts w:cstheme="minorHAnsi"/>
          <w:b/>
        </w:rPr>
        <w:t xml:space="preserve"> "Processus"</w:t>
      </w:r>
    </w:p>
    <w:p w:rsidR="001933AC" w:rsidRPr="001933AC" w:rsidRDefault="001933AC" w:rsidP="001933AC">
      <w:pPr>
        <w:pStyle w:val="Paragraphedeliste"/>
        <w:ind w:left="1440"/>
        <w:jc w:val="both"/>
        <w:rPr>
          <w:rFonts w:cstheme="minorHAnsi"/>
        </w:rPr>
      </w:pPr>
    </w:p>
    <w:p w:rsidR="00C32555" w:rsidRPr="00C32555" w:rsidRDefault="00C32555" w:rsidP="001933AC">
      <w:pPr>
        <w:jc w:val="center"/>
        <w:rPr>
          <w:rFonts w:cstheme="minorHAnsi"/>
        </w:rPr>
      </w:pPr>
      <w:r>
        <w:rPr>
          <w:rFonts w:cstheme="minorHAnsi"/>
          <w:noProof/>
          <w:lang w:eastAsia="fr-FR"/>
        </w:rPr>
        <mc:AlternateContent>
          <mc:Choice Requires="wps">
            <w:drawing>
              <wp:anchor distT="0" distB="0" distL="114300" distR="114300" simplePos="0" relativeHeight="251663360" behindDoc="0" locked="0" layoutInCell="1" allowOverlap="1" wp14:anchorId="07857838" wp14:editId="2661BD62">
                <wp:simplePos x="0" y="0"/>
                <wp:positionH relativeFrom="column">
                  <wp:posOffset>2762250</wp:posOffset>
                </wp:positionH>
                <wp:positionV relativeFrom="paragraph">
                  <wp:posOffset>402590</wp:posOffset>
                </wp:positionV>
                <wp:extent cx="1133061" cy="344556"/>
                <wp:effectExtent l="0" t="0" r="10160" b="17780"/>
                <wp:wrapNone/>
                <wp:docPr id="13" name="Ellipse 13"/>
                <wp:cNvGraphicFramePr/>
                <a:graphic xmlns:a="http://schemas.openxmlformats.org/drawingml/2006/main">
                  <a:graphicData uri="http://schemas.microsoft.com/office/word/2010/wordprocessingShape">
                    <wps:wsp>
                      <wps:cNvSpPr/>
                      <wps:spPr>
                        <a:xfrm>
                          <a:off x="0" y="0"/>
                          <a:ext cx="1133061" cy="34455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F4ECBC" id="Ellipse 13" o:spid="_x0000_s1026" style="position:absolute;margin-left:217.5pt;margin-top:31.7pt;width:89.2pt;height:27.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" filled="f" strokecolor="red" strokeweight="1pt">
                <v:stroke joinstyle="miter"/>
              </v:oval>
            </w:pict>
          </mc:Fallback>
        </mc:AlternateContent>
      </w:r>
      <w:r w:rsidR="001933AC">
        <w:rPr>
          <w:rFonts w:cstheme="minorHAnsi"/>
        </w:rPr>
        <w:t>Attention : avoir bien pris connaissance de la grille en amont (difficile sur le terrain)</w:t>
      </w:r>
      <w:r w:rsidR="005F0BEC">
        <w:rPr>
          <w:rFonts w:cstheme="minorHAnsi"/>
        </w:rPr>
        <w:t xml:space="preserve"> et avoir organiser le déroulement de la journée</w:t>
      </w:r>
    </w:p>
    <w:p w:rsidR="005550A3" w:rsidRDefault="00C32555" w:rsidP="00D35235">
      <w:pPr>
        <w:jc w:val="both"/>
        <w:rPr>
          <w:rFonts w:cstheme="minorHAnsi"/>
        </w:rPr>
      </w:pPr>
      <w:r>
        <w:rPr>
          <w:noProof/>
          <w:lang w:eastAsia="fr-FR"/>
        </w:rPr>
        <w:drawing>
          <wp:inline distT="0" distB="0" distL="0" distR="0" wp14:anchorId="6ED1154D" wp14:editId="662B240E">
            <wp:extent cx="5759450" cy="2362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236220"/>
                    </a:xfrm>
                    <a:prstGeom prst="rect">
                      <a:avLst/>
                    </a:prstGeom>
                  </pic:spPr>
                </pic:pic>
              </a:graphicData>
            </a:graphic>
          </wp:inline>
        </w:drawing>
      </w:r>
    </w:p>
    <w:p w:rsidR="00606099" w:rsidRDefault="00606099" w:rsidP="00EE55D3">
      <w:pPr>
        <w:jc w:val="both"/>
        <w:rPr>
          <w:rFonts w:cstheme="minorHAnsi"/>
        </w:rPr>
      </w:pPr>
      <w:r>
        <w:rPr>
          <w:rFonts w:cstheme="minorHAnsi"/>
        </w:rPr>
        <w:t xml:space="preserve">Les auditeurs externes devront avoir pris connaissance au préalable des résultats de l’audit sur les parties réalisées en </w:t>
      </w:r>
      <w:r w:rsidR="00431D7B">
        <w:rPr>
          <w:rFonts w:cstheme="minorHAnsi"/>
          <w:b/>
        </w:rPr>
        <w:t>auto-</w:t>
      </w:r>
      <w:r w:rsidRPr="00431D7B">
        <w:rPr>
          <w:rFonts w:cstheme="minorHAnsi"/>
          <w:b/>
        </w:rPr>
        <w:t>évaluation</w:t>
      </w:r>
      <w:r>
        <w:rPr>
          <w:rFonts w:cstheme="minorHAnsi"/>
        </w:rPr>
        <w:t xml:space="preserve"> par l’unité en amont de leur visite. Ils pourront alors avoir repéré des points qu’ils souhaiteront observer.</w:t>
      </w:r>
    </w:p>
    <w:p w:rsidR="00BF2156" w:rsidRDefault="00BF2156" w:rsidP="00EE55D3">
      <w:pPr>
        <w:jc w:val="both"/>
        <w:rPr>
          <w:rFonts w:cstheme="minorHAnsi"/>
        </w:rPr>
      </w:pPr>
      <w:r w:rsidRPr="000576B9">
        <w:rPr>
          <w:rFonts w:cstheme="minorHAnsi"/>
        </w:rPr>
        <w:t xml:space="preserve">Les auditeurs sont également invités </w:t>
      </w:r>
      <w:r w:rsidRPr="00431D7B">
        <w:rPr>
          <w:rFonts w:cstheme="minorHAnsi"/>
          <w:b/>
        </w:rPr>
        <w:t>à observer tout le processus de production</w:t>
      </w:r>
      <w:r>
        <w:rPr>
          <w:rFonts w:cstheme="minorHAnsi"/>
        </w:rPr>
        <w:t xml:space="preserve"> (prescriptions, validation pharmaceutique, </w:t>
      </w:r>
      <w:r w:rsidRPr="000576B9">
        <w:rPr>
          <w:rFonts w:cstheme="minorHAnsi"/>
        </w:rPr>
        <w:t>préparations de c</w:t>
      </w:r>
      <w:r>
        <w:rPr>
          <w:rFonts w:cstheme="minorHAnsi"/>
        </w:rPr>
        <w:t>himiothérapies anti-cancéreuses, libération, locaux, stockage, réception et administration dans l’unité de soins).</w:t>
      </w:r>
    </w:p>
    <w:p w:rsidR="00D35235" w:rsidRDefault="00D35235" w:rsidP="00EE55D3">
      <w:pPr>
        <w:jc w:val="both"/>
        <w:rPr>
          <w:rFonts w:cstheme="minorHAnsi"/>
          <w:b/>
        </w:rPr>
      </w:pPr>
      <w:r w:rsidRPr="00F67C90">
        <w:rPr>
          <w:rFonts w:cstheme="minorHAnsi"/>
        </w:rPr>
        <w:t>Certains éléments de preuve correspondant aux critères de la grille pourront également être consulté</w:t>
      </w:r>
      <w:r w:rsidR="007E1589" w:rsidRPr="00F67C90">
        <w:rPr>
          <w:rFonts w:cstheme="minorHAnsi"/>
        </w:rPr>
        <w:t>s</w:t>
      </w:r>
      <w:r w:rsidRPr="00F67C90">
        <w:rPr>
          <w:rFonts w:cstheme="minorHAnsi"/>
        </w:rPr>
        <w:t xml:space="preserve"> par les auditeurs externes. L’unité auditée doit pouvoir les mettre à disposition des auditeurs. Ils sont renseignés dans le document </w:t>
      </w:r>
      <w:r w:rsidRPr="003A347E">
        <w:rPr>
          <w:rFonts w:cstheme="minorHAnsi"/>
          <w:b/>
        </w:rPr>
        <w:t>«</w:t>
      </w:r>
      <w:r w:rsidR="00C32555">
        <w:rPr>
          <w:rFonts w:cstheme="minorHAnsi"/>
          <w:b/>
        </w:rPr>
        <w:t> Check-</w:t>
      </w:r>
      <w:r w:rsidR="003A347E" w:rsidRPr="003A347E">
        <w:rPr>
          <w:rFonts w:cstheme="minorHAnsi"/>
          <w:b/>
        </w:rPr>
        <w:t>list de l’unité auditée, Liste des documents de preuve »</w:t>
      </w:r>
      <w:r w:rsidRPr="003A347E">
        <w:rPr>
          <w:rFonts w:cstheme="minorHAnsi"/>
          <w:b/>
        </w:rPr>
        <w:t>.</w:t>
      </w:r>
    </w:p>
    <w:p w:rsidR="00A04199" w:rsidRPr="00F67C90" w:rsidRDefault="00C65AD8" w:rsidP="00EE55D3">
      <w:pPr>
        <w:jc w:val="both"/>
        <w:rPr>
          <w:rFonts w:cstheme="minorHAnsi"/>
        </w:rPr>
      </w:pPr>
      <w:r w:rsidRPr="00F67C90">
        <w:rPr>
          <w:rFonts w:cstheme="minorHAnsi"/>
        </w:rPr>
        <w:t>L</w:t>
      </w:r>
      <w:r w:rsidR="00A04199" w:rsidRPr="00F67C90">
        <w:rPr>
          <w:rFonts w:cstheme="minorHAnsi"/>
        </w:rPr>
        <w:t>a majorité des questions offre un choix de réponse entre "Oui" et "Non" selo</w:t>
      </w:r>
      <w:r w:rsidRPr="00F67C90">
        <w:rPr>
          <w:rFonts w:cstheme="minorHAnsi"/>
        </w:rPr>
        <w:t>n un menu déroulant. C</w:t>
      </w:r>
      <w:r w:rsidR="00A04199" w:rsidRPr="00F67C90">
        <w:rPr>
          <w:rFonts w:cstheme="minorHAnsi"/>
        </w:rPr>
        <w:t>ertaines questions offrent la possibilité de répondre "NA" (non applicable) dans le menu déroulant. Cette alternative s'applique lorsque l'établissement n'est pas concerné par la question. La réponse "NA" n'influence pas le calcul de votre score.</w:t>
      </w:r>
    </w:p>
    <w:p w:rsidR="00C65AD8" w:rsidRPr="00F67C90" w:rsidRDefault="00A04199" w:rsidP="00EE55D3">
      <w:pPr>
        <w:jc w:val="both"/>
        <w:rPr>
          <w:rFonts w:cstheme="minorHAnsi"/>
        </w:rPr>
      </w:pPr>
      <w:r w:rsidRPr="00F67C90">
        <w:rPr>
          <w:rFonts w:cstheme="minorHAnsi"/>
        </w:rPr>
        <w:t>NB: Certaines questions de l'onglet "processus" ne concernent pas l'activité de sous-traitance.</w:t>
      </w:r>
    </w:p>
    <w:p w:rsidR="00556EA3" w:rsidRPr="00F67C90" w:rsidRDefault="00556EA3" w:rsidP="00EE55D3">
      <w:pPr>
        <w:jc w:val="both"/>
        <w:rPr>
          <w:rFonts w:cstheme="minorHAnsi"/>
        </w:rPr>
      </w:pPr>
    </w:p>
    <w:p w:rsidR="00556EA3" w:rsidRPr="00F67C90" w:rsidRDefault="00020DF6" w:rsidP="00F67C90">
      <w:pPr>
        <w:pStyle w:val="Titre1"/>
        <w:pBdr>
          <w:bottom w:val="single" w:sz="12" w:space="1" w:color="2DAAA0"/>
        </w:pBdr>
        <w:spacing w:before="0" w:line="240" w:lineRule="auto"/>
        <w:jc w:val="both"/>
        <w:rPr>
          <w:rFonts w:ascii="Calibri" w:hAnsi="Calibri"/>
          <w:color w:val="2DAAA0"/>
        </w:rPr>
      </w:pPr>
      <w:r w:rsidRPr="00F67C90">
        <w:rPr>
          <w:rFonts w:ascii="Calibri" w:hAnsi="Calibri"/>
          <w:color w:val="2DAAA0"/>
        </w:rPr>
        <w:t>Lecture des résultats </w:t>
      </w:r>
    </w:p>
    <w:p w:rsidR="00020DF6" w:rsidRPr="00F67C90" w:rsidRDefault="00020DF6" w:rsidP="00EE55D3">
      <w:pPr>
        <w:jc w:val="both"/>
        <w:rPr>
          <w:rFonts w:cstheme="minorHAnsi"/>
        </w:rPr>
      </w:pPr>
      <w:r w:rsidRPr="00F67C90">
        <w:rPr>
          <w:rFonts w:cstheme="minorHAnsi"/>
        </w:rPr>
        <w:t xml:space="preserve">Les résultats du questionnaire sont présentés dans l'onglet </w:t>
      </w:r>
      <w:r w:rsidRPr="00C32555">
        <w:rPr>
          <w:rFonts w:cstheme="minorHAnsi"/>
          <w:b/>
        </w:rPr>
        <w:t>"Résultats"</w:t>
      </w:r>
      <w:r w:rsidRPr="00C32555">
        <w:rPr>
          <w:rFonts w:cstheme="minorHAnsi"/>
        </w:rPr>
        <w:t>.</w:t>
      </w:r>
      <w:r w:rsidRPr="00F67C90">
        <w:rPr>
          <w:rFonts w:cstheme="minorHAnsi"/>
        </w:rPr>
        <w:t xml:space="preserve"> Un score de maitrise des risques est calculé en fonction des réponses apportées au questionnaire. Les codes couleurs des scores varient selon l'échelle suivante :</w:t>
      </w:r>
    </w:p>
    <w:p w:rsidR="00020DF6" w:rsidRPr="00F67C90" w:rsidRDefault="00C32555" w:rsidP="00EE55D3">
      <w:pPr>
        <w:jc w:val="both"/>
        <w:rPr>
          <w:rFonts w:cstheme="minorHAnsi"/>
        </w:rPr>
      </w:pPr>
      <w:r>
        <w:rPr>
          <w:noProof/>
          <w:lang w:eastAsia="fr-FR"/>
        </w:rPr>
        <w:drawing>
          <wp:anchor distT="0" distB="0" distL="114300" distR="114300" simplePos="0" relativeHeight="251664384" behindDoc="0" locked="0" layoutInCell="1" allowOverlap="1">
            <wp:simplePos x="0" y="0"/>
            <wp:positionH relativeFrom="column">
              <wp:posOffset>2816446</wp:posOffset>
            </wp:positionH>
            <wp:positionV relativeFrom="paragraph">
              <wp:posOffset>8890</wp:posOffset>
            </wp:positionV>
            <wp:extent cx="3295894" cy="718047"/>
            <wp:effectExtent l="0" t="0" r="0" b="635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95894" cy="718047"/>
                    </a:xfrm>
                    <a:prstGeom prst="rect">
                      <a:avLst/>
                    </a:prstGeom>
                  </pic:spPr>
                </pic:pic>
              </a:graphicData>
            </a:graphic>
            <wp14:sizeRelH relativeFrom="margin">
              <wp14:pctWidth>0</wp14:pctWidth>
            </wp14:sizeRelH>
            <wp14:sizeRelV relativeFrom="margin">
              <wp14:pctHeight>0</wp14:pctHeight>
            </wp14:sizeRelV>
          </wp:anchor>
        </w:drawing>
      </w:r>
      <w:r w:rsidR="00020DF6" w:rsidRPr="00F67C90">
        <w:rPr>
          <w:rFonts w:cstheme="minorHAnsi"/>
        </w:rPr>
        <w:t xml:space="preserve">           - 0% à 50% : rouge</w:t>
      </w:r>
    </w:p>
    <w:p w:rsidR="00020DF6" w:rsidRPr="00F67C90" w:rsidRDefault="00020DF6" w:rsidP="00EE55D3">
      <w:pPr>
        <w:jc w:val="both"/>
        <w:rPr>
          <w:rFonts w:cstheme="minorHAnsi"/>
        </w:rPr>
      </w:pPr>
      <w:r w:rsidRPr="00F67C90">
        <w:rPr>
          <w:rFonts w:cstheme="minorHAnsi"/>
        </w:rPr>
        <w:t xml:space="preserve">           - 50% à 75% : orange </w:t>
      </w:r>
    </w:p>
    <w:p w:rsidR="00020DF6" w:rsidRDefault="00D54019" w:rsidP="00EE55D3">
      <w:pPr>
        <w:jc w:val="both"/>
        <w:rPr>
          <w:rFonts w:cstheme="minorHAnsi"/>
        </w:rPr>
      </w:pPr>
      <w:r w:rsidRPr="00F67C90">
        <w:rPr>
          <w:rFonts w:cstheme="minorHAnsi"/>
        </w:rPr>
        <w:t xml:space="preserve">           - 75% à 100% : vert</w:t>
      </w:r>
    </w:p>
    <w:p w:rsidR="00C32555" w:rsidRDefault="00C32555" w:rsidP="00EE55D3">
      <w:pPr>
        <w:jc w:val="both"/>
        <w:rPr>
          <w:rFonts w:cstheme="minorHAnsi"/>
        </w:rPr>
      </w:pPr>
    </w:p>
    <w:p w:rsidR="00C32555" w:rsidRPr="00F67C90" w:rsidRDefault="00C32555" w:rsidP="00EE55D3">
      <w:pPr>
        <w:jc w:val="both"/>
        <w:rPr>
          <w:rFonts w:cstheme="minorHAnsi"/>
        </w:rPr>
      </w:pPr>
      <w:r>
        <w:rPr>
          <w:noProof/>
          <w:lang w:eastAsia="fr-FR"/>
        </w:rPr>
        <w:drawing>
          <wp:anchor distT="0" distB="0" distL="114300" distR="114300" simplePos="0" relativeHeight="251666432" behindDoc="0" locked="0" layoutInCell="1" allowOverlap="1" wp14:anchorId="33254A29" wp14:editId="389AD8DF">
            <wp:simplePos x="0" y="0"/>
            <wp:positionH relativeFrom="column">
              <wp:posOffset>3903345</wp:posOffset>
            </wp:positionH>
            <wp:positionV relativeFrom="paragraph">
              <wp:posOffset>92710</wp:posOffset>
            </wp:positionV>
            <wp:extent cx="2219325" cy="1744345"/>
            <wp:effectExtent l="0" t="0" r="9525"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9325" cy="1744345"/>
                    </a:xfrm>
                    <a:prstGeom prst="rect">
                      <a:avLst/>
                    </a:prstGeom>
                  </pic:spPr>
                </pic:pic>
              </a:graphicData>
            </a:graphic>
            <wp14:sizeRelH relativeFrom="margin">
              <wp14:pctWidth>0</wp14:pctWidth>
            </wp14:sizeRelH>
            <wp14:sizeRelV relativeFrom="margin">
              <wp14:pctHeight>0</wp14:pctHeight>
            </wp14:sizeRelV>
          </wp:anchor>
        </w:drawing>
      </w:r>
    </w:p>
    <w:p w:rsidR="00C32555" w:rsidRDefault="00020DF6" w:rsidP="00EE55D3">
      <w:pPr>
        <w:jc w:val="both"/>
        <w:rPr>
          <w:rFonts w:cstheme="minorHAnsi"/>
        </w:rPr>
      </w:pPr>
      <w:r w:rsidRPr="00F67C90">
        <w:rPr>
          <w:rFonts w:cstheme="minorHAnsi"/>
        </w:rPr>
        <w:t xml:space="preserve">La représentation graphique proposée permet d'évaluer les scores de vos réponses selon un taux de maîtrise situé entre 0% et 100% : </w:t>
      </w:r>
    </w:p>
    <w:p w:rsidR="00020DF6" w:rsidRPr="00F67C90" w:rsidRDefault="00EE55D3" w:rsidP="00EE55D3">
      <w:pPr>
        <w:jc w:val="both"/>
        <w:rPr>
          <w:rFonts w:cstheme="minorHAnsi"/>
        </w:rPr>
      </w:pPr>
      <w:r w:rsidRPr="00F67C90">
        <w:rPr>
          <w:rFonts w:cstheme="minorHAnsi"/>
        </w:rPr>
        <w:t>L</w:t>
      </w:r>
      <w:r w:rsidR="00020DF6" w:rsidRPr="00F67C90">
        <w:rPr>
          <w:rFonts w:cstheme="minorHAnsi"/>
        </w:rPr>
        <w:t>es principales catégories sont représentées sous la forme de radar dont les branches sont les thèmes ou les étapes de Pilotage et Management / Processus (Exemple : Système d'information pour Pilotage et Management)</w:t>
      </w:r>
    </w:p>
    <w:p w:rsidR="000576B9" w:rsidRDefault="000576B9" w:rsidP="00F67C90">
      <w:pPr>
        <w:pStyle w:val="Titre1"/>
        <w:pBdr>
          <w:bottom w:val="single" w:sz="12" w:space="1" w:color="2DAAA0"/>
        </w:pBdr>
        <w:spacing w:before="0" w:line="240" w:lineRule="auto"/>
        <w:jc w:val="both"/>
        <w:rPr>
          <w:rFonts w:ascii="Calibri" w:hAnsi="Calibri"/>
          <w:color w:val="2DAAA0"/>
        </w:rPr>
      </w:pPr>
    </w:p>
    <w:p w:rsidR="000576B9" w:rsidRDefault="000576B9" w:rsidP="00F67C90">
      <w:pPr>
        <w:pStyle w:val="Titre1"/>
        <w:pBdr>
          <w:bottom w:val="single" w:sz="12" w:space="1" w:color="2DAAA0"/>
        </w:pBdr>
        <w:spacing w:before="0" w:line="240" w:lineRule="auto"/>
        <w:jc w:val="both"/>
        <w:rPr>
          <w:rFonts w:ascii="Calibri" w:hAnsi="Calibri"/>
          <w:color w:val="2DAAA0"/>
        </w:rPr>
      </w:pPr>
    </w:p>
    <w:p w:rsidR="00020DF6" w:rsidRPr="00F67C90" w:rsidRDefault="00020DF6" w:rsidP="00F67C90">
      <w:pPr>
        <w:pStyle w:val="Titre1"/>
        <w:pBdr>
          <w:bottom w:val="single" w:sz="12" w:space="1" w:color="2DAAA0"/>
        </w:pBdr>
        <w:spacing w:before="0" w:line="240" w:lineRule="auto"/>
        <w:jc w:val="both"/>
        <w:rPr>
          <w:rFonts w:ascii="Calibri" w:hAnsi="Calibri"/>
          <w:color w:val="2DAAA0"/>
        </w:rPr>
      </w:pPr>
      <w:r w:rsidRPr="00F67C90">
        <w:rPr>
          <w:rFonts w:ascii="Calibri" w:hAnsi="Calibri"/>
          <w:color w:val="2DAAA0"/>
        </w:rPr>
        <w:t>Plan d’actions </w:t>
      </w:r>
    </w:p>
    <w:p w:rsidR="00431D7B" w:rsidRDefault="00431D7B" w:rsidP="00EE55D3">
      <w:pPr>
        <w:jc w:val="both"/>
        <w:rPr>
          <w:rFonts w:cstheme="minorHAnsi"/>
        </w:rPr>
      </w:pPr>
      <w:r>
        <w:rPr>
          <w:rFonts w:cstheme="minorHAnsi"/>
        </w:rPr>
        <w:t xml:space="preserve">Partie </w:t>
      </w:r>
      <w:r w:rsidR="006D64AE">
        <w:rPr>
          <w:rFonts w:cstheme="minorHAnsi"/>
        </w:rPr>
        <w:t>à compléter par</w:t>
      </w:r>
      <w:r>
        <w:rPr>
          <w:rFonts w:cstheme="minorHAnsi"/>
        </w:rPr>
        <w:t xml:space="preserve"> la structure auditée</w:t>
      </w:r>
      <w:r w:rsidR="006D64AE">
        <w:rPr>
          <w:rFonts w:cstheme="minorHAnsi"/>
        </w:rPr>
        <w:t>.</w:t>
      </w:r>
    </w:p>
    <w:p w:rsidR="00020DF6" w:rsidRPr="008375F5" w:rsidRDefault="00020DF6" w:rsidP="00EE55D3">
      <w:pPr>
        <w:jc w:val="both"/>
        <w:rPr>
          <w:rFonts w:cstheme="minorHAnsi"/>
          <w:b/>
        </w:rPr>
      </w:pPr>
      <w:r w:rsidRPr="00F67C90">
        <w:rPr>
          <w:rFonts w:cstheme="minorHAnsi"/>
        </w:rPr>
        <w:t>L’onglet « plan d'actions » permet d'avoir une vue globale, item par item, de l'ensemble des questions pour lesquelles l'établissement n'a pas eu le score optimal de maîtrise des risques et qui nécessiteront donc à court ou moyen terme, la mise en œuvre d'actions correctives.</w:t>
      </w:r>
      <w:r w:rsidR="008F5815">
        <w:rPr>
          <w:rFonts w:cstheme="minorHAnsi"/>
        </w:rPr>
        <w:t xml:space="preserve"> </w:t>
      </w:r>
      <w:r w:rsidR="008F5815" w:rsidRPr="008375F5">
        <w:rPr>
          <w:rFonts w:cstheme="minorHAnsi"/>
          <w:b/>
        </w:rPr>
        <w:t xml:space="preserve">Les critères qui sont conformes ne sont pas détaillés dans le Plan d’actions. </w:t>
      </w:r>
    </w:p>
    <w:p w:rsidR="002F3A2F" w:rsidRPr="00F67C90" w:rsidRDefault="002F3A2F" w:rsidP="00EE55D3">
      <w:pPr>
        <w:jc w:val="both"/>
        <w:rPr>
          <w:rFonts w:cstheme="minorHAnsi"/>
        </w:rPr>
      </w:pPr>
      <w:r>
        <w:rPr>
          <w:rFonts w:cstheme="minorHAnsi"/>
          <w:noProof/>
          <w:lang w:eastAsia="fr-FR"/>
        </w:rPr>
        <mc:AlternateContent>
          <mc:Choice Requires="wps">
            <w:drawing>
              <wp:anchor distT="0" distB="0" distL="114300" distR="114300" simplePos="0" relativeHeight="251668480" behindDoc="0" locked="0" layoutInCell="1" allowOverlap="1" wp14:anchorId="46746577" wp14:editId="7A6551D4">
                <wp:simplePos x="0" y="0"/>
                <wp:positionH relativeFrom="column">
                  <wp:posOffset>4889832</wp:posOffset>
                </wp:positionH>
                <wp:positionV relativeFrom="paragraph">
                  <wp:posOffset>-102401</wp:posOffset>
                </wp:positionV>
                <wp:extent cx="947531" cy="330918"/>
                <wp:effectExtent l="0" t="0" r="24130" b="12065"/>
                <wp:wrapNone/>
                <wp:docPr id="18" name="Ellipse 18"/>
                <wp:cNvGraphicFramePr/>
                <a:graphic xmlns:a="http://schemas.openxmlformats.org/drawingml/2006/main">
                  <a:graphicData uri="http://schemas.microsoft.com/office/word/2010/wordprocessingShape">
                    <wps:wsp>
                      <wps:cNvSpPr/>
                      <wps:spPr>
                        <a:xfrm>
                          <a:off x="0" y="0"/>
                          <a:ext cx="947531" cy="33091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9F801" id="Ellipse 18" o:spid="_x0000_s1026" style="position:absolute;margin-left:385.05pt;margin-top:-8.05pt;width:74.6pt;height:2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" filled="f" strokecolor="red" strokeweight="1pt">
                <v:stroke joinstyle="miter"/>
              </v:oval>
            </w:pict>
          </mc:Fallback>
        </mc:AlternateContent>
      </w:r>
      <w:r>
        <w:rPr>
          <w:noProof/>
          <w:lang w:eastAsia="fr-FR"/>
        </w:rPr>
        <w:drawing>
          <wp:inline distT="0" distB="0" distL="0" distR="0" wp14:anchorId="461CE9EB" wp14:editId="764A7833">
            <wp:extent cx="5759450" cy="200660"/>
            <wp:effectExtent l="0" t="0" r="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200660"/>
                    </a:xfrm>
                    <a:prstGeom prst="rect">
                      <a:avLst/>
                    </a:prstGeom>
                  </pic:spPr>
                </pic:pic>
              </a:graphicData>
            </a:graphic>
          </wp:inline>
        </w:drawing>
      </w:r>
    </w:p>
    <w:p w:rsidR="00020DF6" w:rsidRPr="00F67C90" w:rsidRDefault="00020DF6" w:rsidP="00EE55D3">
      <w:pPr>
        <w:jc w:val="both"/>
        <w:rPr>
          <w:rFonts w:cstheme="minorHAnsi"/>
        </w:rPr>
      </w:pPr>
      <w:r w:rsidRPr="00F67C90">
        <w:rPr>
          <w:rFonts w:cstheme="minorHAnsi"/>
        </w:rPr>
        <w:t xml:space="preserve">Ce plan d'actions peut concerner de nombreux points d’amélioration. En conséquence, il sera nécessaire pour l'établissement de cibler les actions prioritaires à mettre en </w:t>
      </w:r>
      <w:r w:rsidR="00EE55D3" w:rsidRPr="00F67C90">
        <w:rPr>
          <w:rFonts w:cstheme="minorHAnsi"/>
        </w:rPr>
        <w:t>œuvre</w:t>
      </w:r>
      <w:r w:rsidRPr="00F67C90">
        <w:rPr>
          <w:rFonts w:cstheme="minorHAnsi"/>
        </w:rPr>
        <w:t xml:space="preserve">. Ces dernières devront être limitées en nombre, avec désignation d'un pilote pour chaque action corrective et définition d'un échéancier sur une période déterminée afin de s'inscrire rapidement dans une démarche d'amélioration de la qualité et de la sécurité des soins.  </w:t>
      </w:r>
    </w:p>
    <w:p w:rsidR="00C65AD8" w:rsidRDefault="00020DF6" w:rsidP="00EE55D3">
      <w:pPr>
        <w:jc w:val="both"/>
        <w:rPr>
          <w:rFonts w:cstheme="minorHAnsi"/>
        </w:rPr>
      </w:pPr>
      <w:r w:rsidRPr="00F67C90">
        <w:rPr>
          <w:rFonts w:cstheme="minorHAnsi"/>
        </w:rPr>
        <w:t xml:space="preserve">Afin de vous aider dans cette démarche de priorisation des risques, vous verrez apparaître </w:t>
      </w:r>
      <w:r w:rsidRPr="002F3A2F">
        <w:rPr>
          <w:rFonts w:cstheme="minorHAnsi"/>
          <w:b/>
          <w:highlight w:val="yellow"/>
        </w:rPr>
        <w:t>« en surbrillance »</w:t>
      </w:r>
      <w:r w:rsidRPr="002F3A2F">
        <w:rPr>
          <w:rFonts w:cstheme="minorHAnsi"/>
          <w:b/>
        </w:rPr>
        <w:t xml:space="preserve"> </w:t>
      </w:r>
      <w:r w:rsidRPr="00F67C90">
        <w:rPr>
          <w:rFonts w:cstheme="minorHAnsi"/>
        </w:rPr>
        <w:t>dans le plan d'actions les items pour lesquels il vous est recommandé de mettre en œuvre des actions immédiates et/ou à court terme pour concrétiser vos avancées sur des actions d’amélioration considérées comme prioritaires au niveau régional "sans toutefois les rendre exclusives".</w:t>
      </w:r>
    </w:p>
    <w:p w:rsidR="006D64AE" w:rsidRPr="006D64AE" w:rsidRDefault="006D64AE" w:rsidP="006D64AE">
      <w:r>
        <w:rPr>
          <w:noProof/>
          <w:lang w:eastAsia="fr-FR"/>
        </w:rPr>
        <mc:AlternateContent>
          <mc:Choice Requires="wps">
            <w:drawing>
              <wp:anchor distT="0" distB="0" distL="114300" distR="114300" simplePos="0" relativeHeight="251673600" behindDoc="0" locked="0" layoutInCell="1" allowOverlap="1" wp14:anchorId="66D9E30F" wp14:editId="4FE8990E">
                <wp:simplePos x="0" y="0"/>
                <wp:positionH relativeFrom="column">
                  <wp:posOffset>572770</wp:posOffset>
                </wp:positionH>
                <wp:positionV relativeFrom="paragraph">
                  <wp:posOffset>189412</wp:posOffset>
                </wp:positionV>
                <wp:extent cx="50800" cy="290286"/>
                <wp:effectExtent l="57150" t="0" r="44450" b="52705"/>
                <wp:wrapNone/>
                <wp:docPr id="23" name="Connecteur droit avec flèche 23"/>
                <wp:cNvGraphicFramePr/>
                <a:graphic xmlns:a="http://schemas.openxmlformats.org/drawingml/2006/main">
                  <a:graphicData uri="http://schemas.microsoft.com/office/word/2010/wordprocessingShape">
                    <wps:wsp>
                      <wps:cNvCnPr/>
                      <wps:spPr>
                        <a:xfrm flipH="1">
                          <a:off x="0" y="0"/>
                          <a:ext cx="50800" cy="290286"/>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B076CD" id="_x0000_t32" coordsize="21600,21600" o:spt="32" o:oned="t" path="m,l21600,21600e" filled="f">
                <v:path arrowok="t" fillok="f" o:connecttype="none"/>
                <o:lock v:ext="edit" shapetype="t"/>
              </v:shapetype>
              <v:shape id="Connecteur droit avec flèche 23" o:spid="_x0000_s1026" type="#_x0000_t32" style="position:absolute;margin-left:45.1pt;margin-top:14.9pt;width:4pt;height:22.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" strokecolor="red" strokeweight="1pt">
                <v:stroke endarrow="block" joinstyle="miter"/>
              </v:shape>
            </w:pict>
          </mc:Fallback>
        </mc:AlternateContent>
      </w:r>
      <w:r>
        <w:t>Pour actualiser le plan d’action, il faut cliquer sur ce carré en haut à gauche.</w:t>
      </w:r>
    </w:p>
    <w:p w:rsidR="006D64AE" w:rsidRDefault="006D64AE" w:rsidP="00EE55D3">
      <w:pPr>
        <w:jc w:val="both"/>
        <w:rPr>
          <w:rFonts w:cstheme="minorHAnsi"/>
        </w:rPr>
      </w:pPr>
      <w:r>
        <w:rPr>
          <w:noProof/>
          <w:lang w:eastAsia="fr-FR"/>
        </w:rPr>
        <w:drawing>
          <wp:anchor distT="0" distB="0" distL="114300" distR="114300" simplePos="0" relativeHeight="251671552" behindDoc="0" locked="0" layoutInCell="1" allowOverlap="1">
            <wp:simplePos x="0" y="0"/>
            <wp:positionH relativeFrom="margin">
              <wp:posOffset>-261801</wp:posOffset>
            </wp:positionH>
            <wp:positionV relativeFrom="paragraph">
              <wp:posOffset>29753</wp:posOffset>
            </wp:positionV>
            <wp:extent cx="6416643" cy="674915"/>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1440" cy="680679"/>
                    </a:xfrm>
                    <a:prstGeom prst="rect">
                      <a:avLst/>
                    </a:prstGeom>
                  </pic:spPr>
                </pic:pic>
              </a:graphicData>
            </a:graphic>
            <wp14:sizeRelH relativeFrom="margin">
              <wp14:pctWidth>0</wp14:pctWidth>
            </wp14:sizeRelH>
            <wp14:sizeRelV relativeFrom="margin">
              <wp14:pctHeight>0</wp14:pctHeight>
            </wp14:sizeRelV>
          </wp:anchor>
        </w:drawing>
      </w:r>
    </w:p>
    <w:p w:rsidR="002F3A2F" w:rsidRDefault="002F3A2F" w:rsidP="00EE55D3">
      <w:pPr>
        <w:jc w:val="both"/>
        <w:rPr>
          <w:rFonts w:cstheme="minorHAnsi"/>
        </w:rPr>
      </w:pPr>
    </w:p>
    <w:p w:rsidR="006D64AE" w:rsidRPr="00F67C90" w:rsidRDefault="006D64AE" w:rsidP="006D64AE">
      <w:pPr>
        <w:rPr>
          <w:rFonts w:cstheme="minorHAnsi"/>
        </w:rPr>
      </w:pPr>
    </w:p>
    <w:p w:rsidR="002F3A2F" w:rsidRDefault="002F3A2F" w:rsidP="002F3A2F">
      <w:pPr>
        <w:pStyle w:val="Titre1"/>
        <w:pBdr>
          <w:bottom w:val="single" w:sz="12" w:space="1" w:color="2DAAA0"/>
        </w:pBdr>
        <w:spacing w:before="0" w:line="240" w:lineRule="auto"/>
        <w:jc w:val="both"/>
        <w:rPr>
          <w:rFonts w:ascii="Calibri" w:hAnsi="Calibri"/>
          <w:color w:val="2DAAA0"/>
        </w:rPr>
      </w:pPr>
    </w:p>
    <w:p w:rsidR="002F3A2F" w:rsidRPr="002F3A2F" w:rsidRDefault="00C65AD8" w:rsidP="002F3A2F">
      <w:pPr>
        <w:pStyle w:val="Titre1"/>
        <w:pBdr>
          <w:bottom w:val="single" w:sz="12" w:space="1" w:color="2DAAA0"/>
        </w:pBdr>
        <w:spacing w:before="0" w:line="240" w:lineRule="auto"/>
        <w:jc w:val="both"/>
        <w:rPr>
          <w:rFonts w:ascii="Calibri" w:hAnsi="Calibri"/>
          <w:color w:val="2DAAA0"/>
        </w:rPr>
      </w:pPr>
      <w:r w:rsidRPr="00F67C90">
        <w:rPr>
          <w:rFonts w:ascii="Calibri" w:hAnsi="Calibri"/>
          <w:color w:val="2DAAA0"/>
        </w:rPr>
        <w:t>Groupe de travail « Audit croisé Médicament UPC » de la région Normandie » :</w:t>
      </w:r>
    </w:p>
    <w:p w:rsidR="00C65AD8" w:rsidRPr="00F67C90" w:rsidRDefault="00C65AD8" w:rsidP="00EE55D3">
      <w:pPr>
        <w:spacing w:after="0"/>
        <w:jc w:val="both"/>
        <w:rPr>
          <w:rFonts w:cstheme="minorHAnsi"/>
          <w:noProof/>
          <w:lang w:eastAsia="fr-FR"/>
        </w:rPr>
      </w:pPr>
      <w:r w:rsidRPr="00F67C90">
        <w:rPr>
          <w:rFonts w:cstheme="minorHAnsi"/>
          <w:noProof/>
          <w:lang w:eastAsia="fr-FR"/>
        </w:rPr>
        <w:t>Desforges Céline, Pharmacien, CLCC François Baclesse</w:t>
      </w:r>
    </w:p>
    <w:p w:rsidR="00C65AD8" w:rsidRPr="00F67C90" w:rsidRDefault="00C65AD8" w:rsidP="00EE55D3">
      <w:pPr>
        <w:spacing w:after="0"/>
        <w:jc w:val="both"/>
        <w:rPr>
          <w:rFonts w:cstheme="minorHAnsi"/>
          <w:noProof/>
          <w:lang w:eastAsia="fr-FR"/>
        </w:rPr>
      </w:pPr>
      <w:r w:rsidRPr="00F67C90">
        <w:rPr>
          <w:rFonts w:cstheme="minorHAnsi"/>
          <w:noProof/>
          <w:lang w:eastAsia="fr-FR"/>
        </w:rPr>
        <w:t>Abraham Fréderic, Pharmacien, HAD Cèdre</w:t>
      </w:r>
    </w:p>
    <w:p w:rsidR="00C65AD8" w:rsidRPr="00F67C90" w:rsidRDefault="00C65AD8" w:rsidP="00EE55D3">
      <w:pPr>
        <w:spacing w:after="0"/>
        <w:jc w:val="both"/>
        <w:rPr>
          <w:rFonts w:cstheme="minorHAnsi"/>
          <w:noProof/>
          <w:lang w:eastAsia="fr-FR"/>
        </w:rPr>
      </w:pPr>
      <w:r w:rsidRPr="00F67C90">
        <w:rPr>
          <w:rFonts w:cstheme="minorHAnsi"/>
          <w:noProof/>
          <w:lang w:eastAsia="fr-FR"/>
        </w:rPr>
        <w:lastRenderedPageBreak/>
        <w:t>Lhéritier Elisabeth, Pharmacien, CH Dieppe</w:t>
      </w:r>
    </w:p>
    <w:p w:rsidR="00C65AD8" w:rsidRPr="00F67C90" w:rsidRDefault="00C65AD8" w:rsidP="00EE55D3">
      <w:pPr>
        <w:spacing w:after="0"/>
        <w:jc w:val="both"/>
        <w:rPr>
          <w:rFonts w:cstheme="minorHAnsi"/>
          <w:noProof/>
          <w:lang w:eastAsia="fr-FR"/>
        </w:rPr>
      </w:pPr>
      <w:r w:rsidRPr="00F67C90">
        <w:rPr>
          <w:rFonts w:cstheme="minorHAnsi"/>
          <w:noProof/>
          <w:lang w:eastAsia="fr-FR"/>
        </w:rPr>
        <w:t>Arsène</w:t>
      </w:r>
      <w:r w:rsidRPr="00F67C90">
        <w:rPr>
          <w:rFonts w:cstheme="minorHAnsi"/>
          <w:noProof/>
          <w:lang w:eastAsia="fr-FR"/>
        </w:rPr>
        <w:tab/>
        <w:t>Muriel, Pharmacien, CHIC Alençon Mamers</w:t>
      </w:r>
    </w:p>
    <w:p w:rsidR="00C65AD8" w:rsidRPr="00F67C90" w:rsidRDefault="00C65AD8" w:rsidP="00EE55D3">
      <w:pPr>
        <w:spacing w:after="0"/>
        <w:jc w:val="both"/>
        <w:rPr>
          <w:rFonts w:cstheme="minorHAnsi"/>
          <w:noProof/>
          <w:lang w:eastAsia="fr-FR"/>
        </w:rPr>
      </w:pPr>
      <w:r w:rsidRPr="006D64AE">
        <w:rPr>
          <w:rFonts w:cstheme="minorHAnsi"/>
          <w:noProof/>
          <w:highlight w:val="yellow"/>
          <w:lang w:eastAsia="fr-FR"/>
        </w:rPr>
        <w:t>Nom ? PPH, CHIC Alençon Mamers</w:t>
      </w:r>
    </w:p>
    <w:p w:rsidR="00C65AD8" w:rsidRPr="00F67C90" w:rsidRDefault="00C65AD8" w:rsidP="00EE55D3">
      <w:pPr>
        <w:spacing w:after="0"/>
        <w:jc w:val="both"/>
        <w:rPr>
          <w:rFonts w:cstheme="minorHAnsi"/>
          <w:noProof/>
          <w:lang w:eastAsia="fr-FR"/>
        </w:rPr>
      </w:pPr>
      <w:r w:rsidRPr="00F67C90">
        <w:rPr>
          <w:rFonts w:cstheme="minorHAnsi"/>
          <w:noProof/>
          <w:lang w:eastAsia="fr-FR"/>
        </w:rPr>
        <w:t>Breuil Cécile, Pharmacien, CHU Caen</w:t>
      </w:r>
    </w:p>
    <w:p w:rsidR="00C65AD8" w:rsidRPr="00F67C90" w:rsidRDefault="00C65AD8" w:rsidP="00EE55D3">
      <w:pPr>
        <w:spacing w:after="0"/>
        <w:jc w:val="both"/>
        <w:rPr>
          <w:rFonts w:cstheme="minorHAnsi"/>
          <w:noProof/>
          <w:lang w:eastAsia="fr-FR"/>
        </w:rPr>
      </w:pPr>
      <w:r w:rsidRPr="00F67C90">
        <w:rPr>
          <w:rFonts w:cstheme="minorHAnsi"/>
          <w:noProof/>
          <w:lang w:eastAsia="fr-FR"/>
        </w:rPr>
        <w:t>Adam Johan, Pharmacien, PCL de la Baie</w:t>
      </w:r>
    </w:p>
    <w:p w:rsidR="00C65AD8" w:rsidRPr="00F67C90" w:rsidRDefault="00C65AD8" w:rsidP="00EE55D3">
      <w:pPr>
        <w:spacing w:after="0"/>
        <w:jc w:val="both"/>
        <w:rPr>
          <w:rFonts w:cstheme="minorHAnsi"/>
          <w:noProof/>
          <w:lang w:eastAsia="fr-FR"/>
        </w:rPr>
      </w:pPr>
      <w:r w:rsidRPr="00F67C90">
        <w:rPr>
          <w:rFonts w:cstheme="minorHAnsi"/>
          <w:noProof/>
          <w:lang w:eastAsia="fr-FR"/>
        </w:rPr>
        <w:t>Truet Stéphanie, Pharmacien, CH Bayeux</w:t>
      </w:r>
    </w:p>
    <w:p w:rsidR="00C65AD8" w:rsidRPr="00F67C90" w:rsidRDefault="00C65AD8" w:rsidP="00EE55D3">
      <w:pPr>
        <w:spacing w:after="0"/>
        <w:jc w:val="both"/>
        <w:rPr>
          <w:rFonts w:cstheme="minorHAnsi"/>
          <w:noProof/>
          <w:lang w:eastAsia="fr-FR"/>
        </w:rPr>
      </w:pPr>
      <w:r w:rsidRPr="00F67C90">
        <w:rPr>
          <w:rFonts w:cstheme="minorHAnsi"/>
          <w:noProof/>
          <w:lang w:eastAsia="fr-FR"/>
        </w:rPr>
        <w:t>Blaizot</w:t>
      </w:r>
      <w:r w:rsidRPr="00F67C90">
        <w:rPr>
          <w:rFonts w:cstheme="minorHAnsi"/>
          <w:noProof/>
          <w:lang w:eastAsia="fr-FR"/>
        </w:rPr>
        <w:tab/>
        <w:t>Xavier, Coordonnateur,</w:t>
      </w:r>
      <w:r w:rsidRPr="00F67C90">
        <w:rPr>
          <w:rFonts w:cstheme="minorHAnsi"/>
          <w:noProof/>
          <w:lang w:eastAsia="fr-FR"/>
        </w:rPr>
        <w:tab/>
        <w:t>Onco Normandie</w:t>
      </w:r>
    </w:p>
    <w:p w:rsidR="00C65AD8" w:rsidRPr="00F67C90" w:rsidRDefault="00C65AD8" w:rsidP="00EE55D3">
      <w:pPr>
        <w:spacing w:after="0"/>
        <w:jc w:val="both"/>
        <w:rPr>
          <w:rFonts w:cstheme="minorHAnsi"/>
          <w:noProof/>
          <w:lang w:eastAsia="fr-FR"/>
        </w:rPr>
      </w:pPr>
      <w:r w:rsidRPr="00F67C90">
        <w:rPr>
          <w:rFonts w:cstheme="minorHAnsi"/>
          <w:noProof/>
          <w:lang w:eastAsia="fr-FR"/>
        </w:rPr>
        <w:t>Beloeuvre, Pascale Pharmacien, HP Pasteur</w:t>
      </w:r>
    </w:p>
    <w:p w:rsidR="00C65AD8" w:rsidRPr="00F67C90" w:rsidRDefault="00C65AD8" w:rsidP="00EE55D3">
      <w:pPr>
        <w:spacing w:after="0"/>
        <w:jc w:val="both"/>
        <w:rPr>
          <w:rFonts w:cstheme="minorHAnsi"/>
          <w:noProof/>
          <w:lang w:eastAsia="fr-FR"/>
        </w:rPr>
      </w:pPr>
      <w:r w:rsidRPr="00F67C90">
        <w:rPr>
          <w:rFonts w:cstheme="minorHAnsi"/>
          <w:noProof/>
          <w:lang w:eastAsia="fr-FR"/>
        </w:rPr>
        <w:t>Tenga Ginette, Pharmacien, Clinique Mégival</w:t>
      </w:r>
    </w:p>
    <w:p w:rsidR="00C65AD8" w:rsidRPr="00F67C90" w:rsidRDefault="00C65AD8" w:rsidP="00EE55D3">
      <w:pPr>
        <w:spacing w:after="0"/>
        <w:jc w:val="both"/>
        <w:rPr>
          <w:rFonts w:cstheme="minorHAnsi"/>
          <w:noProof/>
          <w:lang w:eastAsia="fr-FR"/>
        </w:rPr>
      </w:pPr>
      <w:r w:rsidRPr="00F67C90">
        <w:rPr>
          <w:rFonts w:cstheme="minorHAnsi"/>
          <w:noProof/>
          <w:lang w:eastAsia="fr-FR"/>
        </w:rPr>
        <w:t>Marchand Aline, IDE référente, clinique Mégival</w:t>
      </w:r>
    </w:p>
    <w:p w:rsidR="00C65AD8" w:rsidRPr="00F67C90" w:rsidRDefault="00C65AD8" w:rsidP="00EE55D3">
      <w:pPr>
        <w:spacing w:after="0"/>
        <w:jc w:val="both"/>
        <w:rPr>
          <w:rFonts w:cstheme="minorHAnsi"/>
          <w:noProof/>
          <w:lang w:eastAsia="fr-FR"/>
        </w:rPr>
      </w:pPr>
      <w:r w:rsidRPr="00F67C90">
        <w:rPr>
          <w:rFonts w:cstheme="minorHAnsi"/>
          <w:noProof/>
          <w:lang w:eastAsia="fr-FR"/>
        </w:rPr>
        <w:t>Bigard Caroline, Pharmacien, Clinique des ormeaux le havre</w:t>
      </w:r>
    </w:p>
    <w:p w:rsidR="00C65AD8" w:rsidRPr="00F67C90" w:rsidRDefault="00C65AD8" w:rsidP="00EE55D3">
      <w:pPr>
        <w:spacing w:after="0"/>
        <w:jc w:val="both"/>
        <w:rPr>
          <w:rFonts w:cstheme="minorHAnsi"/>
          <w:noProof/>
          <w:lang w:eastAsia="fr-FR"/>
        </w:rPr>
      </w:pPr>
      <w:r w:rsidRPr="00F67C90">
        <w:rPr>
          <w:rFonts w:cstheme="minorHAnsi"/>
          <w:noProof/>
          <w:lang w:eastAsia="fr-FR"/>
        </w:rPr>
        <w:t>Lefevre</w:t>
      </w:r>
      <w:r w:rsidRPr="00F67C90">
        <w:rPr>
          <w:rFonts w:cstheme="minorHAnsi"/>
          <w:noProof/>
          <w:lang w:eastAsia="fr-FR"/>
        </w:rPr>
        <w:tab/>
        <w:t>Paul, Pharmacien, Clinique des ormeaux le havre</w:t>
      </w:r>
    </w:p>
    <w:p w:rsidR="00C65AD8" w:rsidRPr="00F67C90" w:rsidRDefault="00C65AD8" w:rsidP="00EE55D3">
      <w:pPr>
        <w:spacing w:after="0"/>
        <w:jc w:val="both"/>
        <w:rPr>
          <w:rFonts w:cstheme="minorHAnsi"/>
          <w:noProof/>
          <w:lang w:eastAsia="fr-FR"/>
        </w:rPr>
      </w:pPr>
      <w:r w:rsidRPr="00F67C90">
        <w:rPr>
          <w:rFonts w:cstheme="minorHAnsi"/>
          <w:noProof/>
          <w:lang w:eastAsia="fr-FR"/>
        </w:rPr>
        <w:t>Kalimouttou Sendilcoumare, Pharmacien, CH Elbeuf Louviers</w:t>
      </w:r>
    </w:p>
    <w:p w:rsidR="00C65AD8" w:rsidRDefault="00C65AD8" w:rsidP="00EE55D3">
      <w:pPr>
        <w:spacing w:after="0"/>
        <w:jc w:val="both"/>
        <w:rPr>
          <w:rFonts w:cstheme="minorHAnsi"/>
          <w:noProof/>
          <w:lang w:eastAsia="fr-FR"/>
        </w:rPr>
      </w:pPr>
      <w:r w:rsidRPr="00F67C90">
        <w:rPr>
          <w:rFonts w:cstheme="minorHAnsi"/>
          <w:noProof/>
          <w:lang w:eastAsia="fr-FR"/>
        </w:rPr>
        <w:t>Bannie</w:t>
      </w:r>
      <w:r w:rsidRPr="00F67C90">
        <w:rPr>
          <w:rFonts w:cstheme="minorHAnsi"/>
          <w:noProof/>
          <w:lang w:eastAsia="fr-FR"/>
        </w:rPr>
        <w:tab/>
        <w:t>Florence, Pharmacien, CHPC</w:t>
      </w:r>
    </w:p>
    <w:p w:rsidR="00764FA0" w:rsidRDefault="00764FA0" w:rsidP="00EE55D3">
      <w:pPr>
        <w:spacing w:after="0"/>
        <w:jc w:val="both"/>
        <w:rPr>
          <w:rFonts w:cstheme="minorHAnsi"/>
          <w:noProof/>
          <w:lang w:eastAsia="fr-FR"/>
        </w:rPr>
      </w:pPr>
      <w:r>
        <w:rPr>
          <w:rFonts w:cstheme="minorHAnsi"/>
          <w:noProof/>
          <w:lang w:eastAsia="fr-FR"/>
        </w:rPr>
        <w:t>Gallais Florian, interne, CH Dieppe</w:t>
      </w:r>
    </w:p>
    <w:p w:rsidR="00764FA0" w:rsidRDefault="00764FA0" w:rsidP="00EE55D3">
      <w:pPr>
        <w:spacing w:after="0"/>
        <w:jc w:val="both"/>
        <w:rPr>
          <w:rFonts w:cstheme="minorHAnsi"/>
          <w:noProof/>
          <w:lang w:eastAsia="fr-FR"/>
        </w:rPr>
      </w:pPr>
      <w:r>
        <w:rPr>
          <w:rFonts w:cstheme="minorHAnsi"/>
          <w:noProof/>
          <w:lang w:eastAsia="fr-FR"/>
        </w:rPr>
        <w:t>Cousin Thibault, pharmacien, CH Dieppe</w:t>
      </w:r>
    </w:p>
    <w:p w:rsidR="00764FA0" w:rsidRDefault="00764FA0" w:rsidP="00EE55D3">
      <w:pPr>
        <w:spacing w:after="0"/>
        <w:jc w:val="both"/>
        <w:rPr>
          <w:rFonts w:cstheme="minorHAnsi"/>
          <w:noProof/>
          <w:lang w:eastAsia="fr-FR"/>
        </w:rPr>
      </w:pPr>
      <w:r>
        <w:rPr>
          <w:rFonts w:cstheme="minorHAnsi"/>
          <w:noProof/>
          <w:lang w:eastAsia="fr-FR"/>
        </w:rPr>
        <w:t>Maes Alexandre, interne, CH Elbeuf</w:t>
      </w:r>
    </w:p>
    <w:p w:rsidR="00764FA0" w:rsidRDefault="00764FA0" w:rsidP="00EE55D3">
      <w:pPr>
        <w:spacing w:after="0"/>
        <w:jc w:val="both"/>
        <w:rPr>
          <w:rFonts w:cstheme="minorHAnsi"/>
          <w:noProof/>
          <w:lang w:eastAsia="fr-FR"/>
        </w:rPr>
      </w:pPr>
      <w:r>
        <w:rPr>
          <w:rFonts w:cstheme="minorHAnsi"/>
          <w:noProof/>
          <w:lang w:eastAsia="fr-FR"/>
        </w:rPr>
        <w:t>Fevre Margo, interne, OMéDIT Normandie</w:t>
      </w:r>
    </w:p>
    <w:p w:rsidR="00764FA0" w:rsidRDefault="00764FA0" w:rsidP="00EE55D3">
      <w:pPr>
        <w:spacing w:after="0"/>
        <w:jc w:val="both"/>
        <w:rPr>
          <w:rFonts w:cstheme="minorHAnsi"/>
          <w:noProof/>
          <w:lang w:eastAsia="fr-FR"/>
        </w:rPr>
      </w:pPr>
      <w:r>
        <w:rPr>
          <w:rFonts w:cstheme="minorHAnsi"/>
          <w:noProof/>
          <w:lang w:eastAsia="fr-FR"/>
        </w:rPr>
        <w:t>Bouglé Céline, pharmacien, OMéDIT Normandie</w:t>
      </w:r>
    </w:p>
    <w:p w:rsidR="00764FA0" w:rsidRPr="00F67C90" w:rsidRDefault="00764FA0" w:rsidP="00EE55D3">
      <w:pPr>
        <w:spacing w:after="0"/>
        <w:jc w:val="both"/>
        <w:rPr>
          <w:rFonts w:cstheme="minorHAnsi"/>
          <w:noProof/>
          <w:lang w:eastAsia="fr-FR"/>
        </w:rPr>
      </w:pPr>
      <w:r>
        <w:rPr>
          <w:rFonts w:cstheme="minorHAnsi"/>
          <w:noProof/>
          <w:lang w:eastAsia="fr-FR"/>
        </w:rPr>
        <w:t>Richard Anne-Laure, pharmacien, Qual’va</w:t>
      </w:r>
      <w:bookmarkStart w:id="0" w:name="_GoBack"/>
      <w:bookmarkEnd w:id="0"/>
    </w:p>
    <w:p w:rsidR="00C65AD8" w:rsidRPr="00F67C90" w:rsidRDefault="00C65AD8" w:rsidP="00EE55D3">
      <w:pPr>
        <w:jc w:val="both"/>
        <w:rPr>
          <w:rFonts w:cstheme="minorHAnsi"/>
        </w:rPr>
      </w:pPr>
    </w:p>
    <w:p w:rsidR="00C32D3E" w:rsidRPr="00F67C90" w:rsidRDefault="00C32D3E" w:rsidP="00EE55D3">
      <w:pPr>
        <w:jc w:val="both"/>
        <w:rPr>
          <w:rFonts w:cstheme="minorHAnsi"/>
        </w:rPr>
      </w:pPr>
    </w:p>
    <w:sectPr w:rsidR="00C32D3E" w:rsidRPr="00F67C90" w:rsidSect="0031306B">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D3" w:rsidRDefault="00EE55D3" w:rsidP="00EE55D3">
      <w:pPr>
        <w:spacing w:after="0" w:line="240" w:lineRule="auto"/>
      </w:pPr>
      <w:r>
        <w:separator/>
      </w:r>
    </w:p>
  </w:endnote>
  <w:endnote w:type="continuationSeparator" w:id="0">
    <w:p w:rsidR="00EE55D3" w:rsidRDefault="00EE55D3" w:rsidP="00EE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6B" w:rsidRPr="007A13F9" w:rsidRDefault="0031306B" w:rsidP="0031306B">
    <w:pPr>
      <w:pStyle w:val="Pieddepage"/>
      <w:jc w:val="right"/>
      <w:rPr>
        <w:i/>
        <w:sz w:val="18"/>
        <w:szCs w:val="18"/>
      </w:rPr>
    </w:pPr>
    <w:r>
      <w:rPr>
        <w:i/>
        <w:sz w:val="18"/>
        <w:szCs w:val="18"/>
      </w:rPr>
      <w:t>2020/2021</w:t>
    </w:r>
    <w:r w:rsidRPr="007A13F9">
      <w:rPr>
        <w:i/>
        <w:sz w:val="18"/>
        <w:szCs w:val="18"/>
      </w:rPr>
      <w:t xml:space="preserve"> - Page </w:t>
    </w:r>
    <w:r w:rsidRPr="007A13F9">
      <w:rPr>
        <w:b/>
        <w:bCs/>
        <w:i/>
        <w:sz w:val="18"/>
        <w:szCs w:val="18"/>
      </w:rPr>
      <w:fldChar w:fldCharType="begin"/>
    </w:r>
    <w:r w:rsidRPr="007A13F9">
      <w:rPr>
        <w:b/>
        <w:bCs/>
        <w:i/>
        <w:sz w:val="18"/>
        <w:szCs w:val="18"/>
      </w:rPr>
      <w:instrText>PAGE  \* Arabic  \* MERGEFORMAT</w:instrText>
    </w:r>
    <w:r w:rsidRPr="007A13F9">
      <w:rPr>
        <w:b/>
        <w:bCs/>
        <w:i/>
        <w:sz w:val="18"/>
        <w:szCs w:val="18"/>
      </w:rPr>
      <w:fldChar w:fldCharType="separate"/>
    </w:r>
    <w:r w:rsidR="00764FA0">
      <w:rPr>
        <w:b/>
        <w:bCs/>
        <w:i/>
        <w:noProof/>
        <w:sz w:val="18"/>
        <w:szCs w:val="18"/>
      </w:rPr>
      <w:t>5</w:t>
    </w:r>
    <w:r w:rsidRPr="007A13F9">
      <w:rPr>
        <w:b/>
        <w:bCs/>
        <w:i/>
        <w:sz w:val="18"/>
        <w:szCs w:val="18"/>
      </w:rPr>
      <w:fldChar w:fldCharType="end"/>
    </w:r>
    <w:r w:rsidRPr="007A13F9">
      <w:rPr>
        <w:i/>
        <w:sz w:val="18"/>
        <w:szCs w:val="18"/>
      </w:rPr>
      <w:t xml:space="preserve"> sur </w:t>
    </w:r>
    <w:r w:rsidRPr="007A13F9">
      <w:rPr>
        <w:b/>
        <w:bCs/>
        <w:i/>
        <w:sz w:val="18"/>
        <w:szCs w:val="18"/>
      </w:rPr>
      <w:fldChar w:fldCharType="begin"/>
    </w:r>
    <w:r w:rsidRPr="007A13F9">
      <w:rPr>
        <w:b/>
        <w:bCs/>
        <w:i/>
        <w:sz w:val="18"/>
        <w:szCs w:val="18"/>
      </w:rPr>
      <w:instrText>NUMPAGES  \* Arabic  \* MERGEFORMAT</w:instrText>
    </w:r>
    <w:r w:rsidRPr="007A13F9">
      <w:rPr>
        <w:b/>
        <w:bCs/>
        <w:i/>
        <w:sz w:val="18"/>
        <w:szCs w:val="18"/>
      </w:rPr>
      <w:fldChar w:fldCharType="separate"/>
    </w:r>
    <w:r w:rsidR="00764FA0">
      <w:rPr>
        <w:b/>
        <w:bCs/>
        <w:i/>
        <w:noProof/>
        <w:sz w:val="18"/>
        <w:szCs w:val="18"/>
      </w:rPr>
      <w:t>5</w:t>
    </w:r>
    <w:r w:rsidRPr="007A13F9">
      <w:rPr>
        <w:b/>
        <w:bCs/>
        <w:i/>
        <w:sz w:val="18"/>
        <w:szCs w:val="18"/>
      </w:rPr>
      <w:fldChar w:fldCharType="end"/>
    </w:r>
  </w:p>
  <w:p w:rsidR="0031306B" w:rsidRPr="0031306B" w:rsidRDefault="0031306B" w:rsidP="003130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D3" w:rsidRDefault="00EE55D3" w:rsidP="00EE55D3">
      <w:pPr>
        <w:spacing w:after="0" w:line="240" w:lineRule="auto"/>
      </w:pPr>
      <w:r>
        <w:separator/>
      </w:r>
    </w:p>
  </w:footnote>
  <w:footnote w:type="continuationSeparator" w:id="0">
    <w:p w:rsidR="00EE55D3" w:rsidRDefault="00EE55D3" w:rsidP="00EE5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6B" w:rsidRDefault="0031306B">
    <w:pPr>
      <w:pStyle w:val="En-tte"/>
    </w:pPr>
  </w:p>
  <w:tbl>
    <w:tblPr>
      <w:tblW w:w="10367"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830"/>
      <w:gridCol w:w="6886"/>
      <w:gridCol w:w="1651"/>
    </w:tblGrid>
    <w:tr w:rsidR="0031306B" w:rsidTr="0031306B">
      <w:trPr>
        <w:trHeight w:val="797"/>
        <w:jc w:val="center"/>
      </w:trPr>
      <w:tc>
        <w:tcPr>
          <w:tcW w:w="1830" w:type="dxa"/>
          <w:shd w:val="clear" w:color="auto" w:fill="EFEFEF"/>
          <w:tcMar>
            <w:top w:w="100" w:type="dxa"/>
            <w:left w:w="100" w:type="dxa"/>
            <w:bottom w:w="100" w:type="dxa"/>
            <w:right w:w="100" w:type="dxa"/>
          </w:tcMar>
          <w:vAlign w:val="center"/>
        </w:tcPr>
        <w:p w:rsidR="0031306B" w:rsidRDefault="0031306B" w:rsidP="0031306B">
          <w:pPr>
            <w:widowControl w:val="0"/>
          </w:pPr>
          <w:r>
            <w:rPr>
              <w:noProof/>
              <w:lang w:eastAsia="fr-FR"/>
            </w:rPr>
            <w:drawing>
              <wp:inline distT="114300" distB="114300" distL="114300" distR="114300" wp14:anchorId="2401D4FD" wp14:editId="7554B1B8">
                <wp:extent cx="885825" cy="495300"/>
                <wp:effectExtent l="0" t="0" r="0" b="0"/>
                <wp:docPr id="53" name="image01.png" descr="qualva_logo-couleur bulle.png"/>
                <wp:cNvGraphicFramePr/>
                <a:graphic xmlns:a="http://schemas.openxmlformats.org/drawingml/2006/main">
                  <a:graphicData uri="http://schemas.openxmlformats.org/drawingml/2006/picture">
                    <pic:pic xmlns:pic="http://schemas.openxmlformats.org/drawingml/2006/picture">
                      <pic:nvPicPr>
                        <pic:cNvPr id="0" name="image01.png" descr="qualva_logo-couleur bulle.png"/>
                        <pic:cNvPicPr preferRelativeResize="0"/>
                      </pic:nvPicPr>
                      <pic:blipFill>
                        <a:blip r:embed="rId1"/>
                        <a:srcRect/>
                        <a:stretch>
                          <a:fillRect/>
                        </a:stretch>
                      </pic:blipFill>
                      <pic:spPr>
                        <a:xfrm>
                          <a:off x="0" y="0"/>
                          <a:ext cx="885825" cy="495300"/>
                        </a:xfrm>
                        <a:prstGeom prst="rect">
                          <a:avLst/>
                        </a:prstGeom>
                        <a:ln/>
                      </pic:spPr>
                    </pic:pic>
                  </a:graphicData>
                </a:graphic>
              </wp:inline>
            </w:drawing>
          </w:r>
        </w:p>
      </w:tc>
      <w:tc>
        <w:tcPr>
          <w:tcW w:w="6886" w:type="dxa"/>
          <w:shd w:val="clear" w:color="auto" w:fill="EFEFEF"/>
          <w:tcMar>
            <w:top w:w="100" w:type="dxa"/>
            <w:left w:w="100" w:type="dxa"/>
            <w:bottom w:w="100" w:type="dxa"/>
            <w:right w:w="100" w:type="dxa"/>
          </w:tcMar>
          <w:vAlign w:val="center"/>
        </w:tcPr>
        <w:p w:rsidR="0031306B" w:rsidRDefault="0031306B" w:rsidP="000576B9">
          <w:pPr>
            <w:widowControl w:val="0"/>
            <w:spacing w:after="0" w:line="240" w:lineRule="auto"/>
            <w:jc w:val="center"/>
            <w:rPr>
              <w:rFonts w:ascii="Calibri" w:eastAsia="Calibri" w:hAnsi="Calibri" w:cs="Calibri"/>
              <w:b/>
              <w:sz w:val="28"/>
              <w:szCs w:val="28"/>
            </w:rPr>
          </w:pPr>
          <w:r>
            <w:rPr>
              <w:rFonts w:ascii="Calibri" w:eastAsia="Calibri" w:hAnsi="Calibri" w:cs="Calibri"/>
              <w:b/>
              <w:sz w:val="28"/>
              <w:szCs w:val="28"/>
            </w:rPr>
            <w:t>Mode d’emploi Audit Croisé </w:t>
          </w:r>
        </w:p>
        <w:p w:rsidR="0031306B" w:rsidRDefault="0031306B" w:rsidP="000576B9">
          <w:pPr>
            <w:widowControl w:val="0"/>
            <w:spacing w:after="0" w:line="240" w:lineRule="auto"/>
            <w:jc w:val="center"/>
            <w:rPr>
              <w:rFonts w:ascii="Calibri" w:eastAsia="Calibri" w:hAnsi="Calibri" w:cs="Calibri"/>
              <w:b/>
              <w:sz w:val="28"/>
              <w:szCs w:val="28"/>
            </w:rPr>
          </w:pPr>
          <w:r>
            <w:rPr>
              <w:rFonts w:ascii="Calibri" w:eastAsia="Calibri" w:hAnsi="Calibri" w:cs="Calibri"/>
              <w:b/>
              <w:sz w:val="28"/>
              <w:szCs w:val="28"/>
            </w:rPr>
            <w:t>Préparation en Unité de Production de Chimiothérapies</w:t>
          </w:r>
        </w:p>
        <w:p w:rsidR="0031306B" w:rsidRDefault="0031306B" w:rsidP="000576B9">
          <w:pPr>
            <w:widowControl w:val="0"/>
            <w:spacing w:after="0" w:line="240" w:lineRule="auto"/>
            <w:jc w:val="center"/>
            <w:rPr>
              <w:rFonts w:ascii="Calibri" w:eastAsia="Calibri" w:hAnsi="Calibri" w:cs="Calibri"/>
              <w:b/>
              <w:sz w:val="28"/>
              <w:szCs w:val="28"/>
            </w:rPr>
          </w:pPr>
          <w:r>
            <w:rPr>
              <w:rFonts w:ascii="Calibri" w:eastAsia="Calibri" w:hAnsi="Calibri" w:cs="Calibri"/>
              <w:b/>
              <w:sz w:val="28"/>
              <w:szCs w:val="28"/>
            </w:rPr>
            <w:t xml:space="preserve">Partenariat Réseau Qual’Va - </w:t>
          </w:r>
          <w:proofErr w:type="spellStart"/>
          <w:r>
            <w:rPr>
              <w:rFonts w:ascii="Calibri" w:eastAsia="Calibri" w:hAnsi="Calibri" w:cs="Calibri"/>
              <w:b/>
              <w:sz w:val="28"/>
              <w:szCs w:val="28"/>
            </w:rPr>
            <w:t>OMéDIT</w:t>
          </w:r>
          <w:proofErr w:type="spellEnd"/>
          <w:r>
            <w:rPr>
              <w:rFonts w:ascii="Calibri" w:eastAsia="Calibri" w:hAnsi="Calibri" w:cs="Calibri"/>
              <w:b/>
              <w:sz w:val="28"/>
              <w:szCs w:val="28"/>
            </w:rPr>
            <w:t xml:space="preserve"> Normandie</w:t>
          </w:r>
        </w:p>
      </w:tc>
      <w:tc>
        <w:tcPr>
          <w:tcW w:w="1651" w:type="dxa"/>
          <w:shd w:val="clear" w:color="auto" w:fill="EFEFEF"/>
          <w:tcMar>
            <w:top w:w="100" w:type="dxa"/>
            <w:left w:w="100" w:type="dxa"/>
            <w:bottom w:w="100" w:type="dxa"/>
            <w:right w:w="100" w:type="dxa"/>
          </w:tcMar>
          <w:vAlign w:val="center"/>
        </w:tcPr>
        <w:p w:rsidR="0031306B" w:rsidRDefault="0031306B" w:rsidP="0031306B">
          <w:pPr>
            <w:widowControl w:val="0"/>
            <w:jc w:val="center"/>
            <w:rPr>
              <w:rFonts w:ascii="Calibri" w:eastAsia="Calibri" w:hAnsi="Calibri" w:cs="Calibri"/>
              <w:i/>
              <w:sz w:val="18"/>
              <w:szCs w:val="18"/>
            </w:rPr>
          </w:pPr>
          <w:r>
            <w:rPr>
              <w:noProof/>
              <w:lang w:eastAsia="fr-FR"/>
            </w:rPr>
            <w:drawing>
              <wp:inline distT="0" distB="0" distL="0" distR="0" wp14:anchorId="4D32C871" wp14:editId="304086C5">
                <wp:extent cx="934277" cy="514645"/>
                <wp:effectExtent l="0" t="0" r="0" b="0"/>
                <wp:docPr id="54" name="Image 54">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001" cy="522756"/>
                        </a:xfrm>
                        <a:prstGeom prst="rect">
                          <a:avLst/>
                        </a:prstGeom>
                        <a:noFill/>
                        <a:extLst/>
                      </pic:spPr>
                    </pic:pic>
                  </a:graphicData>
                </a:graphic>
              </wp:inline>
            </w:drawing>
          </w:r>
        </w:p>
      </w:tc>
    </w:tr>
  </w:tbl>
  <w:p w:rsidR="0031306B" w:rsidRDefault="0031306B">
    <w:pPr>
      <w:pStyle w:val="En-tte"/>
    </w:pPr>
  </w:p>
  <w:p w:rsidR="0031306B" w:rsidRDefault="003130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32D"/>
    <w:multiLevelType w:val="hybridMultilevel"/>
    <w:tmpl w:val="701A35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A572F7"/>
    <w:multiLevelType w:val="hybridMultilevel"/>
    <w:tmpl w:val="65F855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E725EF"/>
    <w:multiLevelType w:val="hybridMultilevel"/>
    <w:tmpl w:val="11EAAD4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C27A11"/>
    <w:multiLevelType w:val="hybridMultilevel"/>
    <w:tmpl w:val="247052DC"/>
    <w:lvl w:ilvl="0" w:tplc="FDBA5C5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CA"/>
    <w:rsid w:val="00020DF6"/>
    <w:rsid w:val="000576B9"/>
    <w:rsid w:val="000D7A4A"/>
    <w:rsid w:val="00182FEE"/>
    <w:rsid w:val="001933AC"/>
    <w:rsid w:val="001C3444"/>
    <w:rsid w:val="00201611"/>
    <w:rsid w:val="00253D80"/>
    <w:rsid w:val="002C55E2"/>
    <w:rsid w:val="002F3A2F"/>
    <w:rsid w:val="0031306B"/>
    <w:rsid w:val="003300D4"/>
    <w:rsid w:val="00370B1F"/>
    <w:rsid w:val="003A347E"/>
    <w:rsid w:val="00431D7B"/>
    <w:rsid w:val="004F75A5"/>
    <w:rsid w:val="00522002"/>
    <w:rsid w:val="005550A3"/>
    <w:rsid w:val="00556EA3"/>
    <w:rsid w:val="005B0D82"/>
    <w:rsid w:val="005F0BEC"/>
    <w:rsid w:val="00606099"/>
    <w:rsid w:val="00636773"/>
    <w:rsid w:val="0068165F"/>
    <w:rsid w:val="006D64AE"/>
    <w:rsid w:val="00706E40"/>
    <w:rsid w:val="00730EEA"/>
    <w:rsid w:val="00737529"/>
    <w:rsid w:val="00764FA0"/>
    <w:rsid w:val="007E1589"/>
    <w:rsid w:val="008375F5"/>
    <w:rsid w:val="008F0D60"/>
    <w:rsid w:val="008F5815"/>
    <w:rsid w:val="00A04199"/>
    <w:rsid w:val="00BD2602"/>
    <w:rsid w:val="00BF2156"/>
    <w:rsid w:val="00C32555"/>
    <w:rsid w:val="00C32D3E"/>
    <w:rsid w:val="00C65AD8"/>
    <w:rsid w:val="00D2164A"/>
    <w:rsid w:val="00D35235"/>
    <w:rsid w:val="00D54019"/>
    <w:rsid w:val="00DD3B02"/>
    <w:rsid w:val="00EE55D3"/>
    <w:rsid w:val="00EF5FCA"/>
    <w:rsid w:val="00F45C6C"/>
    <w:rsid w:val="00F67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FE2586"/>
  <w15:chartTrackingRefBased/>
  <w15:docId w15:val="{B87D3E4F-C363-4FBA-A3D2-631FE220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67C90"/>
    <w:pPr>
      <w:keepNext/>
      <w:keepLines/>
      <w:spacing w:before="240" w:after="0"/>
      <w:outlineLvl w:val="0"/>
    </w:pPr>
    <w:rPr>
      <w:rFonts w:eastAsiaTheme="majorEastAsia" w:cstheme="majorBidi"/>
      <w:b/>
      <w:color w:val="00CC99"/>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0D60"/>
    <w:pPr>
      <w:spacing w:after="0" w:line="240" w:lineRule="auto"/>
      <w:ind w:left="720"/>
      <w:contextualSpacing/>
    </w:pPr>
  </w:style>
  <w:style w:type="paragraph" w:customStyle="1" w:styleId="Style1">
    <w:name w:val="Style1"/>
    <w:basedOn w:val="Normal"/>
    <w:rsid w:val="00201611"/>
    <w:pPr>
      <w:spacing w:after="0" w:line="240" w:lineRule="auto"/>
    </w:pPr>
    <w:rPr>
      <w:rFonts w:ascii="Arial" w:eastAsia="Times New Roman" w:hAnsi="Arial" w:cs="Arial"/>
      <w:lang w:eastAsia="fr-FR"/>
    </w:rPr>
  </w:style>
  <w:style w:type="character" w:customStyle="1" w:styleId="Titre1Car">
    <w:name w:val="Titre 1 Car"/>
    <w:basedOn w:val="Policepardfaut"/>
    <w:link w:val="Titre1"/>
    <w:uiPriority w:val="9"/>
    <w:rsid w:val="00F67C90"/>
    <w:rPr>
      <w:rFonts w:eastAsiaTheme="majorEastAsia" w:cstheme="majorBidi"/>
      <w:b/>
      <w:color w:val="00CC99"/>
      <w:sz w:val="24"/>
      <w:szCs w:val="32"/>
    </w:rPr>
  </w:style>
  <w:style w:type="paragraph" w:styleId="En-tte">
    <w:name w:val="header"/>
    <w:basedOn w:val="Normal"/>
    <w:link w:val="En-tteCar"/>
    <w:uiPriority w:val="99"/>
    <w:unhideWhenUsed/>
    <w:rsid w:val="00EE55D3"/>
    <w:pPr>
      <w:tabs>
        <w:tab w:val="center" w:pos="4536"/>
        <w:tab w:val="right" w:pos="9072"/>
      </w:tabs>
      <w:spacing w:after="0" w:line="240" w:lineRule="auto"/>
    </w:pPr>
  </w:style>
  <w:style w:type="character" w:customStyle="1" w:styleId="En-tteCar">
    <w:name w:val="En-tête Car"/>
    <w:basedOn w:val="Policepardfaut"/>
    <w:link w:val="En-tte"/>
    <w:uiPriority w:val="99"/>
    <w:rsid w:val="00EE55D3"/>
  </w:style>
  <w:style w:type="paragraph" w:styleId="Pieddepage">
    <w:name w:val="footer"/>
    <w:basedOn w:val="Normal"/>
    <w:link w:val="PieddepageCar"/>
    <w:uiPriority w:val="99"/>
    <w:unhideWhenUsed/>
    <w:rsid w:val="00EE55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32990">
      <w:bodyDiv w:val="1"/>
      <w:marLeft w:val="0"/>
      <w:marRight w:val="0"/>
      <w:marTop w:val="0"/>
      <w:marBottom w:val="0"/>
      <w:divBdr>
        <w:top w:val="none" w:sz="0" w:space="0" w:color="auto"/>
        <w:left w:val="none" w:sz="0" w:space="0" w:color="auto"/>
        <w:bottom w:val="none" w:sz="0" w:space="0" w:color="auto"/>
        <w:right w:val="none" w:sz="0" w:space="0" w:color="auto"/>
      </w:divBdr>
    </w:div>
    <w:div w:id="1520316592">
      <w:bodyDiv w:val="1"/>
      <w:marLeft w:val="0"/>
      <w:marRight w:val="0"/>
      <w:marTop w:val="0"/>
      <w:marBottom w:val="0"/>
      <w:divBdr>
        <w:top w:val="none" w:sz="0" w:space="0" w:color="auto"/>
        <w:left w:val="none" w:sz="0" w:space="0" w:color="auto"/>
        <w:bottom w:val="none" w:sz="0" w:space="0" w:color="auto"/>
        <w:right w:val="none" w:sz="0" w:space="0" w:color="auto"/>
      </w:divBdr>
    </w:div>
    <w:div w:id="176468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1315</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FEVRE, Margot</dc:creator>
  <cp:keywords/>
  <dc:description/>
  <cp:lastModifiedBy>FEVRE, Margot</cp:lastModifiedBy>
  <cp:revision>40</cp:revision>
  <dcterms:created xsi:type="dcterms:W3CDTF">2021-01-07T13:14:00Z</dcterms:created>
  <dcterms:modified xsi:type="dcterms:W3CDTF">2021-03-25T10:46:00Z</dcterms:modified>
</cp:coreProperties>
</file>

<file path=suivi_versioning.xml>26611_1
</file>